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POLICY DI SICUREZZA INFORMATICA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Uso accettabile delle risorse IT — [NOME AZIENDA], Edizione [ANNO]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1. Scopo e ambito di applicazione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presente policy definisce le regole per l'utilizzo sicuro e corretto delle risorse informatiche di [NOME AZIENDA] (dispositivi, account, rete, dati, applicazioni cloud). Si applica a tutto il personale, ai collaboratori e ai fornitori che accedono ai sistemi aziendali. La violazione può comportare provvedimenti disciplinari e, nei casi previsti, responsabilità civili e penali.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2. Account, password e autenticazione</w:t>
      </w:r>
    </w:p>
    <w:p>
      <w:pPr>
        <w:pStyle w:val="ListBullet"/>
      </w:pPr>
      <w:r>
        <w:rPr>
          <w:rFonts w:ascii="Calibri" w:hAnsi="Calibri"/>
          <w:sz w:val="22"/>
        </w:rPr>
        <w:t>Ogni utente dispone di credenziali personali e non cedibili.</w:t>
      </w:r>
    </w:p>
    <w:p>
      <w:pPr>
        <w:pStyle w:val="ListBullet"/>
      </w:pPr>
      <w:r>
        <w:rPr>
          <w:rFonts w:ascii="Calibri" w:hAnsi="Calibri"/>
          <w:sz w:val="22"/>
        </w:rPr>
        <w:t>Password robuste (minimo [12] caratteri, complessità adeguata) e diverse fra servizi; uso di un password manager aziendale ove fornito.</w:t>
      </w:r>
    </w:p>
    <w:p>
      <w:pPr>
        <w:pStyle w:val="ListBullet"/>
      </w:pPr>
      <w:r>
        <w:rPr>
          <w:rFonts w:ascii="Calibri" w:hAnsi="Calibri"/>
          <w:sz w:val="22"/>
        </w:rPr>
        <w:t>Autenticazione a più fattori (MFA) obbligatoria su tutti gli account aziendali, in particolare Microsoft 365 / Entra ID.</w:t>
      </w:r>
    </w:p>
    <w:p>
      <w:pPr>
        <w:pStyle w:val="ListBullet"/>
      </w:pPr>
      <w:r>
        <w:rPr>
          <w:rFonts w:ascii="Calibri" w:hAnsi="Calibri"/>
          <w:sz w:val="22"/>
        </w:rPr>
        <w:t>Divieto di condividere credenziali o di annotarle in chiaro.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3. Uso accettabile di dispositivi, rete e internet</w:t>
      </w:r>
    </w:p>
    <w:p>
      <w:pPr>
        <w:pStyle w:val="ListBullet"/>
      </w:pPr>
      <w:r>
        <w:rPr>
          <w:rFonts w:ascii="Calibri" w:hAnsi="Calibri"/>
          <w:sz w:val="22"/>
        </w:rPr>
        <w:t>I dispositivi aziendali vanno usati prevalentemente per finalità lavorative; un uso personale moderato è tollerato se non pregiudica sicurezza e produttività.</w:t>
      </w:r>
    </w:p>
    <w:p>
      <w:pPr>
        <w:pStyle w:val="ListBullet"/>
      </w:pPr>
      <w:r>
        <w:rPr>
          <w:rFonts w:ascii="Calibri" w:hAnsi="Calibri"/>
          <w:sz w:val="22"/>
        </w:rPr>
        <w:t>Blocco schermo automatico e manuale quando ci si allontana dalla postazione.</w:t>
      </w:r>
    </w:p>
    <w:p>
      <w:pPr>
        <w:pStyle w:val="ListBullet"/>
      </w:pPr>
      <w:r>
        <w:rPr>
          <w:rFonts w:ascii="Calibri" w:hAnsi="Calibri"/>
          <w:sz w:val="22"/>
        </w:rPr>
        <w:t>Divieto di disattivare antivirus, firewall, cifratura del disco o aggiornamenti gestiti dall'IT.</w:t>
      </w:r>
    </w:p>
    <w:p>
      <w:pPr>
        <w:pStyle w:val="ListBullet"/>
      </w:pPr>
      <w:r>
        <w:rPr>
          <w:rFonts w:ascii="Calibri" w:hAnsi="Calibri"/>
          <w:sz w:val="22"/>
        </w:rPr>
        <w:t>Divieto di accedere a contenuti illeciti o di violare diritti di terzi tramite le risorse aziendali.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4. Posta elettronica e anti-phishing</w:t>
      </w:r>
    </w:p>
    <w:p>
      <w:pPr>
        <w:pStyle w:val="ListBullet"/>
      </w:pPr>
      <w:r>
        <w:rPr>
          <w:rFonts w:ascii="Calibri" w:hAnsi="Calibri"/>
          <w:sz w:val="22"/>
        </w:rPr>
        <w:t>La casella aziendale è destinata a comunicazioni di lavoro.</w:t>
      </w:r>
    </w:p>
    <w:p>
      <w:pPr>
        <w:pStyle w:val="ListBullet"/>
      </w:pPr>
      <w:r>
        <w:rPr>
          <w:rFonts w:ascii="Calibri" w:hAnsi="Calibri"/>
          <w:sz w:val="22"/>
        </w:rPr>
        <w:t>Massima attenzione a email sospette: non cliccare link o aprire allegati non attesi; verificare il mittente.</w:t>
      </w:r>
    </w:p>
    <w:p>
      <w:pPr>
        <w:pStyle w:val="ListBullet"/>
      </w:pPr>
      <w:r>
        <w:rPr>
          <w:rFonts w:ascii="Calibri" w:hAnsi="Calibri"/>
          <w:sz w:val="22"/>
        </w:rPr>
        <w:t>Segnalare tempestivamente all'IT i tentativi di phishing tramite [PROCEDURA / PULSANTE SEGNALA].</w:t>
      </w:r>
    </w:p>
    <w:p>
      <w:pPr>
        <w:pStyle w:val="ListBullet"/>
      </w:pPr>
      <w:r>
        <w:rPr>
          <w:rFonts w:ascii="Calibri" w:hAnsi="Calibri"/>
          <w:sz w:val="22"/>
        </w:rPr>
        <w:t>Divieto di inoltrare dati aziendali riservati a indirizzi personali.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5. Dispositivi mobili e BYOD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L'uso di dispositivi personali (BYOD) per accedere ai dati aziendali è consentito solo se [REGISTRATO IN INTUNE / MDM] e conforme ai requisiti di sicurezza (PIN/biometria, cifratura, possibilità di wipe dei dati aziendali). I dati aziendali restano di proprietà dell'azienda e separati dai dati personali.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6. Gestione e classificazione dei dati, backup</w:t>
      </w:r>
    </w:p>
    <w:p>
      <w:pPr>
        <w:pStyle w:val="ListBullet"/>
      </w:pPr>
      <w:r>
        <w:rPr>
          <w:rFonts w:ascii="Calibri" w:hAnsi="Calibri"/>
          <w:sz w:val="22"/>
        </w:rPr>
        <w:t>I dati aziendali vanno salvati nelle posizioni gestite (OneDrive/SharePoint o file server), non su dispositivi locali non protetti.</w:t>
      </w:r>
    </w:p>
    <w:p>
      <w:pPr>
        <w:pStyle w:val="ListBullet"/>
      </w:pPr>
      <w:r>
        <w:rPr>
          <w:rFonts w:ascii="Calibri" w:hAnsi="Calibri"/>
          <w:sz w:val="22"/>
        </w:rPr>
        <w:t>Classificazione: [Pubblico / Interno / Riservato / Confidenziale] con relative regole di condivisione (etichette di riservatezza Microsoft Purview ove disponibili).</w:t>
      </w:r>
    </w:p>
    <w:p>
      <w:pPr>
        <w:pStyle w:val="ListBullet"/>
      </w:pPr>
      <w:r>
        <w:rPr>
          <w:rFonts w:ascii="Calibri" w:hAnsi="Calibri"/>
          <w:sz w:val="22"/>
        </w:rPr>
        <w:t>I dati critici sono protetti da backup gestiti dall'IT; gli utenti non devono fare affidamento su copie locali.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7. Software e installazioni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L'installazione di software è gestita o autorizzata dall'IT. È vietata l'installazione di software non licenziato o di provenienza non attendibile (rischio shadow IT e malware). Le richieste di nuovi strumenti vanno inoltrate a [CANALE RICHIESTE IT].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8. Lavoro da remoto e reti Wi-Fi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In smart working o trasferta, usare connessioni protette e, se richiesto, la VPN aziendale. Evitare reti Wi-Fi pubbliche non protette per l'accesso a dati riservati. Mantenere la riservatezza dello schermo in luoghi pubblici.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9. Segnalazione degli incidenti di sicurezza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Qualsiasi evento sospetto (smarrimento dispositivo, sospetta compromissione account, malware, email di phishing aperta, possibile data breach) va segnalato immediatamente a [CONTATTO IT / SECURITY]. La tempestività è essenziale per limitare i danni e per rispettare gli obblighi di notifica (es. data breach al Garante entro 72 ore ex art. 33 GDPR).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10. Responsabilità e sanzioni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mancato rispetto della presente policy può comportare provvedimenti disciplinari proporzionati alla gravità, secondo il CCNL e il codice disciplinare aziendale, fatte salve le eventuali responsabilità civili e penali. La policy è rivista almeno annualmente.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Presa visione e accettazione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Dipendente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Azienda — [NOME LEGALE RAPPR.]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Fac-simile di policy IT. Adattare contenuti, soglie e procedure alla propria organizzazione e integrare con l'informativa privacy ex art. 13 GDPR e con il regolamento sui controlli a distanza (art. 4 L. 300/1970). Non costituisce consulenza legale.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Policy sicurezza IT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