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ACCORDO DI RISERVATEZZA (NDA)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2"/>
        </w:rPr>
        <w:t>Bilaterale — diritto italiano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Tra le parti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[NOME PARTE A] (di seguito "Parte A"), con sede legale in [INDIRIZZO PARTE A], P.IVA / C.F. [P.IVA PARTE A], in persona del legale rappresentante pro tempore [NOME LEGALE RAPPRESENTANTE A],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[NOME PARTE B] (di seguito "Parte B"), con sede legale in [INDIRIZZO PARTE B], P.IVA / C.F. [P.IVA PARTE B], in persona del legale rappresentante pro tempore [NOME LEGALE RAPPRESENTANTE B],</w:t>
      </w:r>
    </w:p>
    <w:p>
      <w:pPr>
        <w:spacing w:after="120" w:line="360" w:lineRule="auto"/>
      </w:pPr>
      <w:r>
        <w:rPr>
          <w:rFonts w:ascii="Calibri" w:hAnsi="Calibri"/>
          <w:b w:val="0"/>
          <w:i/>
          <w:sz w:val="22"/>
        </w:rPr>
        <w:t>congiuntamente definite "le Parti".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Premesso che</w:t>
      </w:r>
    </w:p>
    <w:p>
      <w:pPr>
        <w:pStyle w:val="ListBullet"/>
      </w:pPr>
      <w:r>
        <w:rPr>
          <w:rFonts w:ascii="Calibri" w:hAnsi="Calibri"/>
          <w:sz w:val="22"/>
        </w:rPr>
        <w:t>le Parti hanno avviato trattative finalizzate a valutare una possibile collaborazione commerciale e/o tecnica relativa a [DESCRIZIONE OGGETTO COLLABORAZIONE];</w:t>
      </w:r>
    </w:p>
    <w:p>
      <w:pPr>
        <w:pStyle w:val="ListBullet"/>
      </w:pPr>
      <w:r>
        <w:rPr>
          <w:rFonts w:ascii="Calibri" w:hAnsi="Calibri"/>
          <w:sz w:val="22"/>
        </w:rPr>
        <w:t>nell'ambito di tali trattative, ciascuna Parte intende scambiare con l'altra informazioni di natura riservata e confidenziale;</w:t>
      </w:r>
    </w:p>
    <w:p>
      <w:pPr>
        <w:pStyle w:val="ListBullet"/>
      </w:pPr>
      <w:r>
        <w:rPr>
          <w:rFonts w:ascii="Calibri" w:hAnsi="Calibri"/>
          <w:sz w:val="22"/>
        </w:rPr>
        <w:t>le Parti intendono regolare con il presente accordo le modalita' di trattamento di tali informazioni.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Articolo 1 — Definizioni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Per "Informazioni Riservate" si intende ogni informazione, dato, documento, know-how, software, disegno tecnico, piano di marketing, lista clienti, condizione economica, segreto industriale e ogni altro elemento di natura tecnica, commerciale, finanziaria o organizzativa appartenente a una Parte e comunicato all'altra Parte in forma scritta, orale, elettronica o in qualunque altro modo, contrassegnato o meno come "Riservato" o "Confidenziale".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Articolo 2 — Obblighi di riservatezza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Ciascuna Parte si impegna a:</w:t>
      </w:r>
    </w:p>
    <w:p>
      <w:pPr>
        <w:pStyle w:val="ListBullet"/>
      </w:pPr>
      <w:r>
        <w:rPr>
          <w:rFonts w:ascii="Calibri" w:hAnsi="Calibri"/>
          <w:sz w:val="22"/>
        </w:rPr>
        <w:t>trattare le Informazioni Riservate con il massimo grado di riservatezza, adottando le medesime cautele utilizzate per le proprie informazioni riservate di pari importanza;</w:t>
      </w:r>
    </w:p>
    <w:p>
      <w:pPr>
        <w:pStyle w:val="ListBullet"/>
      </w:pPr>
      <w:r>
        <w:rPr>
          <w:rFonts w:ascii="Calibri" w:hAnsi="Calibri"/>
          <w:sz w:val="22"/>
        </w:rPr>
        <w:t>utilizzare le Informazioni Riservate esclusivamente per le finalita' indicate in premessa, senza alcuna finalita' di natura concorrenziale;</w:t>
      </w:r>
    </w:p>
    <w:p>
      <w:pPr>
        <w:pStyle w:val="ListBullet"/>
      </w:pPr>
      <w:r>
        <w:rPr>
          <w:rFonts w:ascii="Calibri" w:hAnsi="Calibri"/>
          <w:sz w:val="22"/>
        </w:rPr>
        <w:t>non divulgare le Informazioni Riservate a terzi senza il preventivo consenso scritto dell'altra Parte;</w:t>
      </w:r>
    </w:p>
    <w:p>
      <w:pPr>
        <w:pStyle w:val="ListBullet"/>
      </w:pPr>
      <w:r>
        <w:rPr>
          <w:rFonts w:ascii="Calibri" w:hAnsi="Calibri"/>
          <w:sz w:val="22"/>
        </w:rPr>
        <w:t>limitare l'accesso alle Informazioni Riservate ai soli propri dipendenti, collaboratori e consulenti che ne abbiano effettiva necessita' (need-to-know basis), previa loro sottoscrizione di analoghi obblighi di riservatezza;</w:t>
      </w:r>
    </w:p>
    <w:p>
      <w:pPr>
        <w:pStyle w:val="ListBullet"/>
      </w:pPr>
      <w:r>
        <w:rPr>
          <w:rFonts w:ascii="Calibri" w:hAnsi="Calibri"/>
          <w:sz w:val="22"/>
        </w:rPr>
        <w:t>non riprodurre, copiare, registrare le Informazioni Riservate se non nella misura strettamente necessaria allo svolgimento delle attivita' oggetto del presente accordo.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Articolo 3 — Esclusioni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Gli obblighi di cui al precedente Articolo 2 non si applicano alle informazioni che:</w:t>
      </w:r>
    </w:p>
    <w:p>
      <w:pPr>
        <w:pStyle w:val="ListBullet"/>
      </w:pPr>
      <w:r>
        <w:rPr>
          <w:rFonts w:ascii="Calibri" w:hAnsi="Calibri"/>
          <w:sz w:val="22"/>
        </w:rPr>
        <w:t>siano gia' di dominio pubblico al momento della loro comunicazione o lo divengano successivamente, senza colpa della Parte ricevente;</w:t>
      </w:r>
    </w:p>
    <w:p>
      <w:pPr>
        <w:pStyle w:val="ListBullet"/>
      </w:pPr>
      <w:r>
        <w:rPr>
          <w:rFonts w:ascii="Calibri" w:hAnsi="Calibri"/>
          <w:sz w:val="22"/>
        </w:rPr>
        <w:t>siano gia' nella legittima disponibilita' della Parte ricevente, come da quest'ultima dimostrabile;</w:t>
      </w:r>
    </w:p>
    <w:p>
      <w:pPr>
        <w:pStyle w:val="ListBullet"/>
      </w:pPr>
      <w:r>
        <w:rPr>
          <w:rFonts w:ascii="Calibri" w:hAnsi="Calibri"/>
          <w:sz w:val="22"/>
        </w:rPr>
        <w:t>siano sviluppate autonomamente dalla Parte ricevente senza utilizzo delle Informazioni Riservate;</w:t>
      </w:r>
    </w:p>
    <w:p>
      <w:pPr>
        <w:pStyle w:val="ListBullet"/>
      </w:pPr>
      <w:r>
        <w:rPr>
          <w:rFonts w:ascii="Calibri" w:hAnsi="Calibri"/>
          <w:sz w:val="22"/>
        </w:rPr>
        <w:t>siano comunicate alla Parte ricevente da un terzo legittimato a farlo senza vincolo di riservatezza;</w:t>
      </w:r>
    </w:p>
    <w:p>
      <w:pPr>
        <w:pStyle w:val="ListBullet"/>
      </w:pPr>
      <w:r>
        <w:rPr>
          <w:rFonts w:ascii="Calibri" w:hAnsi="Calibri"/>
          <w:sz w:val="22"/>
        </w:rPr>
        <w:t>debbano essere comunicate in ottemperanza a un obbligo di legge, regolamento o provvedimento dell'autorita' giudiziaria o amministrativa.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Articolo 4 — Durata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presente accordo ha durata di [DURATA] anni dalla data di sottoscrizione (di seguito "Periodo di Durata"). Gli obblighi di riservatezza permangono per ulteriori [DURATA POST-ACCORDO] anni successivi alla cessazione del presente accordo, indipendentemente dalla causa che ne abbia determinato la cessazione.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Articolo 5 — Restituzione delle Informazioni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Alla cessazione del presente accordo, o su semplice richiesta scritta dell'altra Parte, ciascuna Parte si impegna a restituire o distruggere tutti i documenti contenenti Informazioni Riservate ricevute, ivi inclusi eventuali documenti elaborati sulla base delle medesime, fornendo conferma scritta dell'avvenuta restituzione o distruzione.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Articolo 6 — Penali e responsabilita'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In caso di violazione degli obblighi assunti con il presente accordo, la Parte inadempiente sara' tenuta a risarcire all'altra Parte tutti i danni, diretti e indiretti, da essa subiti, ferma restando l'applicazione delle sanzioni civili e penali previste dalla normativa vigente in materia di tutela del segreto industriale, della concorrenza sleale e del trattamento dei dati personali.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Articolo 7 — Trattamento dei dati personali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Le Parti si impegnano a trattare gli eventuali dati personali ricevuti dall'altra Parte nel rispetto del Regolamento UE 2016/679 (GDPR) e del D.Lgs. 196/2003 come modificato dal D.Lgs. 101/2018. Ciascuna Parte agisce in qualita' di autonomo titolare del trattamento dei dati ricevuti dall'altra.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Articolo 8 — Foro competente e legge applicabile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presente accordo e' regolato dalla legge italiana. Per ogni controversia derivante dal presente accordo, le Parti convengono la competenza esclusiva del Foro di [FORO COMPETENTE].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Articolo 9 — Disposizioni finali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presente accordo costituisce l'intero accordo fra le Parti relativamente al suo oggetto e sostituisce ogni precedente accordo, intesa, comunicazione, sia orale che scritta. Eventuali modifiche o integrazioni saranno valide ed efficaci solo se redatte in forma scritta e sottoscritte da entrambe le Parti.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Luogo e data: [LUOGO], [DATA]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Parte A — [NOME PARTE A]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Parte B — [NOME PARTE B]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Ai sensi e per gli effetti degli articoli 1341 e 1342 del Codice Civile italiano, le Parti dichiarano di approvare specificamente le clausole di cui agli articoli 4 (Durata), 6 (Penali e responsabilita'), 8 (Foro competente e legge applicabile).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Parte A — [NOME PARTE A]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Parte B — [NOME PARTE B]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NDA bilaterale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