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46"/>
      </w:tblGrid>
      <w:tr>
        <w:trPr>
          <w:trHeight w:val="907"/>
        </w:trPr>
        <w:tc>
          <w:tcPr>
            <w:tcW w:type="dxa" w:w="9746"/>
            <w:shd w:val="clear" w:color="auto" w:fill="0177FF"/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40"/>
              </w:rPr>
              <w:t>CAPITOLATO DI FORNITURA HARDWARE</w:t>
            </w:r>
          </w:p>
        </w:tc>
      </w:tr>
    </w:tbl>
    <w:p/>
    <w:p>
      <w:pPr>
        <w:spacing w:after="120" w:line="360" w:lineRule="auto"/>
        <w:jc w:val="center"/>
      </w:pPr>
      <w:r>
        <w:rPr>
          <w:rFonts w:ascii="Calibri" w:hAnsi="Calibri"/>
          <w:b w:val="0"/>
          <w:i/>
          <w:color w:val="6C757D"/>
          <w:sz w:val="22"/>
        </w:rPr>
        <w:t>[NOME AZIENDA] — Richiesta di offerta n. [NUMERO] del [DATA]  •  Documento riservato ai fornitori invitati</w:t>
      </w:r>
    </w:p>
    <w:p>
      <w:pPr>
        <w:pStyle w:val="Heading1"/>
        <w:spacing w:before="360" w:after="160"/>
      </w:pPr>
      <w:r>
        <w:rPr>
          <w:rFonts w:ascii="Calibri" w:hAnsi="Calibri"/>
          <w:b/>
          <w:color w:val="0177FF"/>
          <w:sz w:val="32"/>
        </w:rPr>
        <w:t>Come si usa questo modello</w:t>
      </w:r>
    </w:p>
    <w:p>
      <w:pPr>
        <w:spacing w:after="120" w:line="360" w:lineRule="auto"/>
      </w:pPr>
      <w:r>
        <w:rPr>
          <w:rFonts w:ascii="Calibri" w:hAnsi="Calibri"/>
          <w:b w:val="0"/>
          <w:i w:val="0"/>
          <w:sz w:val="22"/>
        </w:rPr>
        <w:t>Un capitolato hardware serve a rendere confrontabili offerte che, senza di lui, non lo sono. Il problema di una richiesta generica («10 notebook per l'ufficio») non è il prezzo: è che le tre offerte che tornano descrivono tre forniture diverse, e a quel punto si sceglie il numero più basso senza sapere cosa manca.</w:t>
      </w:r>
    </w:p>
    <w:p>
      <w:pPr>
        <w:spacing w:after="120" w:line="360" w:lineRule="auto"/>
      </w:pPr>
      <w:r>
        <w:rPr>
          <w:rFonts w:ascii="Calibri" w:hAnsi="Calibri"/>
          <w:b w:val="0"/>
          <w:i w:val="0"/>
          <w:sz w:val="22"/>
        </w:rPr>
        <w:t>Compila i campi fra parentesi quadre e cancella le sezioni che non ti servono. Le sezioni 5, 6 e 8 sono quelle che le richieste di offerta dimenticano più spesso, ed è dove si annidano i costi che arrivano dopo la firma: installazione, ritiro dell'usato e cancellazione dei dati.</w:t>
      </w:r>
    </w:p>
    <w:p>
      <w:pPr>
        <w:spacing w:after="120" w:line="360" w:lineRule="auto"/>
      </w:pPr>
      <w:r>
        <w:rPr>
          <w:rFonts w:ascii="Calibri" w:hAnsi="Calibri"/>
          <w:b w:val="0"/>
          <w:i/>
          <w:color w:val="6C757D"/>
          <w:sz w:val="20"/>
        </w:rPr>
        <w:t>Modello contrattuale di supporto, da adattare alla propria realtà e da far verificare in base al valore della fornitura. Non sostituisce una consulenza legale. Se la tua organizzazione è soggetta a norme sugli appalti pubblici, questo documento non è conforme a quelle procedure.</w:t>
      </w:r>
    </w:p>
    <w:p>
      <w:pPr>
        <w:pStyle w:val="Heading1"/>
        <w:spacing w:before="360" w:after="160"/>
      </w:pPr>
      <w:r>
        <w:rPr>
          <w:rFonts w:ascii="Calibri" w:hAnsi="Calibri"/>
          <w:b/>
          <w:color w:val="0177FF"/>
          <w:sz w:val="32"/>
        </w:rPr>
        <w:t>1. Oggetto della fornitura</w:t>
      </w:r>
    </w:p>
    <w:p>
      <w:pPr>
        <w:spacing w:after="120" w:line="360" w:lineRule="auto"/>
      </w:pPr>
      <w:r>
        <w:rPr>
          <w:rFonts w:ascii="Calibri" w:hAnsi="Calibri"/>
          <w:b w:val="0"/>
          <w:i w:val="0"/>
          <w:sz w:val="22"/>
        </w:rPr>
        <w:t>[NOME AZIENDA], con sede in [INDIRIZZO], P.IVA [PARTITA IVA] (di seguito "Committente"), richiede offerta per la fornitura di apparati informatici, dei servizi accessori e delle prestazioni descritte nel presente capitolato.</w:t>
      </w:r>
    </w:p>
    <w:p>
      <w:pPr>
        <w:spacing w:after="120" w:line="360" w:lineRule="auto"/>
      </w:pPr>
      <w:r>
        <w:rPr>
          <w:rFonts w:ascii="Calibri" w:hAnsi="Calibri"/>
          <w:b w:val="0"/>
          <w:i w:val="0"/>
          <w:sz w:val="22"/>
        </w:rPr>
        <w:t>La fornitura è da intendersi "chiavi in mano": comprende apparati, licenze, configurazione, consegna, installazione, ritiro e smaltimento dell'usato e garanzia nei termini indicati. Offerte che escludano una delle voci richieste devono dichiararlo in modo esplicito nella sezione dedicata alle esclusioni; le voci non menzionate si intendono comprese.</w:t>
      </w:r>
    </w:p>
    <w:p>
      <w:pPr>
        <w:pStyle w:val="Heading1"/>
        <w:spacing w:before="360" w:after="160"/>
      </w:pPr>
      <w:r>
        <w:rPr>
          <w:rFonts w:ascii="Calibri" w:hAnsi="Calibri"/>
          <w:b/>
          <w:color w:val="0177FF"/>
          <w:sz w:val="32"/>
        </w:rPr>
        <w:t>2. Perimetro e quantità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color="auto" w:fill="0177FF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Rif.</w:t>
            </w:r>
          </w:p>
        </w:tc>
        <w:tc>
          <w:tcPr>
            <w:tcW w:type="dxa" w:w="2436"/>
            <w:shd w:val="clear" w:color="auto" w:fill="0177FF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Descrizione</w:t>
            </w:r>
          </w:p>
        </w:tc>
        <w:tc>
          <w:tcPr>
            <w:tcW w:type="dxa" w:w="2436"/>
            <w:shd w:val="clear" w:color="auto" w:fill="0177FF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Quantità</w:t>
            </w:r>
          </w:p>
        </w:tc>
        <w:tc>
          <w:tcPr>
            <w:tcW w:type="dxa" w:w="2436"/>
            <w:shd w:val="clear" w:color="auto" w:fill="0177FF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Destinazione</w:t>
            </w:r>
          </w:p>
        </w:tc>
      </w:tr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A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Notebook — profilo utente da ufficio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[N]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[SEDE / REPARTO]</w:t>
            </w:r>
          </w:p>
        </w:tc>
      </w:tr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B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Notebook — profilo tecnico o mobilità intensa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[N]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[SEDE / REPARTO]</w:t>
            </w:r>
          </w:p>
        </w:tc>
      </w:tr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C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Workstation — carichi grafici o di calcolo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[N]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[SEDE / REPARTO]</w:t>
            </w:r>
          </w:p>
        </w:tc>
      </w:tr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D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Monitor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[N]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[SEDE / REPARTO]</w:t>
            </w:r>
          </w:p>
        </w:tc>
      </w:tr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E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Accessori di postazione (dock, tastiera, mouse, cuffie)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[N]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[SEDE]</w:t>
            </w:r>
          </w:p>
        </w:tc>
      </w:tr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F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[ALTRO]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[N]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[SEDE]</w:t>
            </w:r>
          </w:p>
        </w:tc>
      </w:tr>
    </w:tbl>
    <w:p/>
    <w:p>
      <w:pPr>
        <w:spacing w:after="120" w:line="360" w:lineRule="auto"/>
      </w:pPr>
      <w:r>
        <w:rPr>
          <w:rFonts w:ascii="Calibri" w:hAnsi="Calibri"/>
          <w:b w:val="0"/>
          <w:i w:val="0"/>
          <w:sz w:val="22"/>
        </w:rPr>
        <w:t>Il Committente si riserva di variare le quantità entro il [X]% mantenendo i prezzi unitari offerti. L'offerta deve indicare la validità dei prezzi in giorni e le conseguenze di un eventuale scostamento delle quantità.</w:t>
      </w:r>
    </w:p>
    <w:p>
      <w:pPr>
        <w:pStyle w:val="Heading1"/>
        <w:spacing w:before="360" w:after="160"/>
      </w:pPr>
      <w:r>
        <w:rPr>
          <w:rFonts w:ascii="Calibri" w:hAnsi="Calibri"/>
          <w:b/>
          <w:color w:val="0177FF"/>
          <w:sz w:val="32"/>
        </w:rPr>
        <w:t>3. Requisiti tecnici minimi</w:t>
      </w:r>
    </w:p>
    <w:p>
      <w:pPr>
        <w:spacing w:after="120" w:line="360" w:lineRule="auto"/>
      </w:pPr>
      <w:r>
        <w:rPr>
          <w:rFonts w:ascii="Calibri" w:hAnsi="Calibri"/>
          <w:b w:val="0"/>
          <w:i w:val="0"/>
          <w:sz w:val="22"/>
        </w:rPr>
        <w:t>I requisiti sono espressi come soglie minime, non come modelli: sono ammesse configurazioni superiori. Per ciascun profilo il fornitore deve indicare marca, modello e codice prodotto offerto, e allegare la scheda tecnica.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color="auto" w:fill="0177FF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Caratteristica</w:t>
            </w:r>
          </w:p>
        </w:tc>
        <w:tc>
          <w:tcPr>
            <w:tcW w:type="dxa" w:w="2436"/>
            <w:shd w:val="clear" w:color="auto" w:fill="0177FF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Profilo A — ufficio</w:t>
            </w:r>
          </w:p>
        </w:tc>
        <w:tc>
          <w:tcPr>
            <w:tcW w:type="dxa" w:w="2436"/>
            <w:shd w:val="clear" w:color="auto" w:fill="0177FF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Profilo B — tecnico</w:t>
            </w:r>
          </w:p>
        </w:tc>
        <w:tc>
          <w:tcPr>
            <w:tcW w:type="dxa" w:w="2436"/>
            <w:shd w:val="clear" w:color="auto" w:fill="0177FF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Profilo C — workstation</w:t>
            </w:r>
          </w:p>
        </w:tc>
      </w:tr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Processore (famiglia e generazione minima)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[REQUISITO]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[REQUISITO]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[REQUISITO]</w:t>
            </w:r>
          </w:p>
        </w:tc>
      </w:tr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Memoria RAM minima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[GB]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[GB]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[GB]</w:t>
            </w:r>
          </w:p>
        </w:tc>
      </w:tr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Espandibilità della memoria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[SÌ / NO]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[SÌ / NO]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[SÌ / NO]</w:t>
            </w:r>
          </w:p>
        </w:tc>
      </w:tr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Unità a stato solido — capacità minima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[GB]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[GB]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[GB]</w:t>
            </w:r>
          </w:p>
        </w:tc>
      </w:tr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Scheda grafica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[REQUISITO]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[REQUISITO]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[REQUISITO]</w:t>
            </w:r>
          </w:p>
        </w:tc>
      </w:tr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Schermo — diagonale e risoluzione minima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[REQUISITO]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[REQUISITO]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[REQUISITO]</w:t>
            </w:r>
          </w:p>
        </w:tc>
      </w:tr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Autonomia dichiarata minima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[ORE]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[ORE]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n/a</w:t>
            </w:r>
          </w:p>
        </w:tc>
      </w:tr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Peso massimo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[KG]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[KG]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n/a</w:t>
            </w:r>
          </w:p>
        </w:tc>
      </w:tr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Porte richieste (numero e tipo)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[REQUISITO]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[REQUISITO]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[REQUISITO]</w:t>
            </w:r>
          </w:p>
        </w:tc>
      </w:tr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Webcam, microfono e otturatore fisico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[REQUISITO]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[REQUISITO]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[REQUISITO]</w:t>
            </w:r>
          </w:p>
        </w:tc>
      </w:tr>
      <w:tr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Tastiera — layout e retroilluminazione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Italiano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Italiano</w:t>
            </w:r>
          </w:p>
        </w:tc>
        <w:tc>
          <w:tcPr>
            <w:tcW w:type="dxa" w:w="2436"/>
          </w:tcPr>
          <w:p>
            <w:r>
              <w:rPr>
                <w:rFonts w:ascii="Calibri" w:hAnsi="Calibri"/>
                <w:sz w:val="20"/>
              </w:rPr>
              <w:t>Italiano</w:t>
            </w:r>
          </w:p>
        </w:tc>
      </w:tr>
    </w:tbl>
    <w:p/>
    <w:p>
      <w:pPr>
        <w:pStyle w:val="Heading1"/>
        <w:spacing w:before="360" w:after="160"/>
      </w:pPr>
      <w:r>
        <w:rPr>
          <w:rFonts w:ascii="Calibri" w:hAnsi="Calibri"/>
          <w:b/>
          <w:color w:val="0177FF"/>
          <w:sz w:val="32"/>
        </w:rPr>
        <w:t>4. Requisiti di sistema operativo, sicurezza e provisioning</w:t>
      </w:r>
    </w:p>
    <w:p>
      <w:pPr>
        <w:spacing w:after="120" w:line="360" w:lineRule="auto"/>
      </w:pPr>
      <w:r>
        <w:rPr>
          <w:rFonts w:ascii="Calibri" w:hAnsi="Calibri"/>
          <w:b w:val="0"/>
          <w:i w:val="0"/>
          <w:sz w:val="22"/>
        </w:rPr>
        <w:t>Sono requisiti di ammissibilità: un apparato che non li soddisfa non è valutabile, indipendentemente dal prezzo.</w:t>
      </w:r>
    </w:p>
    <w:p>
      <w:pPr>
        <w:pStyle w:val="ListBullet"/>
      </w:pPr>
      <w:r>
        <w:rPr>
          <w:rFonts w:ascii="Calibri" w:hAnsi="Calibri"/>
          <w:sz w:val="22"/>
        </w:rPr>
        <w:t>Sistema operativo preinstallato in versione business, edizione [EDIZIONE], con licenza intestata al Committente.</w:t>
      </w:r>
    </w:p>
    <w:p>
      <w:pPr>
        <w:pStyle w:val="ListBullet"/>
      </w:pPr>
      <w:r>
        <w:rPr>
          <w:rFonts w:ascii="Calibri" w:hAnsi="Calibri"/>
          <w:sz w:val="22"/>
        </w:rPr>
        <w:t>Modulo di sicurezza hardware presente e attivo di serie, con dichiarazione esplicita della versione: è il requisito che decide se l'apparato sarà aggiornabile per l'intero ciclo di vita previsto.</w:t>
      </w:r>
    </w:p>
    <w:p>
      <w:pPr>
        <w:pStyle w:val="ListBullet"/>
      </w:pPr>
      <w:r>
        <w:rPr>
          <w:rFonts w:ascii="Calibri" w:hAnsi="Calibri"/>
          <w:sz w:val="22"/>
        </w:rPr>
        <w:t>Cifratura del disco attivabile e supportata dagli strumenti di gestione del Committente. La cifratura deve essere attiva prima della consegna: attivarla su un disco che ha già contenuto dati non offre la stessa garanzia in fase di dismissione.</w:t>
      </w:r>
    </w:p>
    <w:p>
      <w:pPr>
        <w:pStyle w:val="ListBullet"/>
      </w:pPr>
      <w:r>
        <w:rPr>
          <w:rFonts w:ascii="Calibri" w:hAnsi="Calibri"/>
          <w:sz w:val="22"/>
        </w:rPr>
        <w:t>Compatibilità con la registrazione al servizio di provisioning automatico del Committente, con caricamento a cura del fornitore degli identificativi hardware nel tenant indicato, prima della spedizione.</w:t>
      </w:r>
    </w:p>
    <w:p>
      <w:pPr>
        <w:pStyle w:val="ListBullet"/>
      </w:pPr>
      <w:r>
        <w:rPr>
          <w:rFonts w:ascii="Calibri" w:hAnsi="Calibri"/>
          <w:sz w:val="22"/>
        </w:rPr>
        <w:t>Aggiornamenti di firmware e driver disponibili tramite i canali di distribuzione gestita, con durata del supporto dichiarata in anni.</w:t>
      </w:r>
    </w:p>
    <w:p>
      <w:pPr>
        <w:pStyle w:val="ListBullet"/>
      </w:pPr>
      <w:r>
        <w:rPr>
          <w:rFonts w:ascii="Calibri" w:hAnsi="Calibri"/>
          <w:sz w:val="22"/>
        </w:rPr>
        <w:t>Dichiarazione della data di fine supporto prevista per ciascun modello offerto: è un dato che pesa sul costo totale e che raramente compare nelle offerte se non viene chiesto.</w:t>
      </w:r>
    </w:p>
    <w:p>
      <w:pPr>
        <w:pStyle w:val="Heading1"/>
        <w:spacing w:before="360" w:after="160"/>
      </w:pPr>
      <w:r>
        <w:rPr>
          <w:rFonts w:ascii="Calibri" w:hAnsi="Calibri"/>
          <w:b/>
          <w:color w:val="0177FF"/>
          <w:sz w:val="32"/>
        </w:rPr>
        <w:t>5. Consegna, installazione e messa in servizio</w:t>
      </w:r>
    </w:p>
    <w:p>
      <w:pPr>
        <w:spacing w:after="120" w:line="360" w:lineRule="auto"/>
      </w:pPr>
      <w:r>
        <w:rPr>
          <w:rFonts w:ascii="Calibri" w:hAnsi="Calibri"/>
          <w:b w:val="0"/>
          <w:i w:val="0"/>
          <w:sz w:val="22"/>
        </w:rPr>
        <w:t>Il fornitore deve quotare separatamente ciascuna delle voci seguenti, anche se intende offrirle a titolo gratuito: serve a rendere confrontabili le offerte.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0177FF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Prestazione</w:t>
            </w:r>
          </w:p>
        </w:tc>
        <w:tc>
          <w:tcPr>
            <w:tcW w:type="dxa" w:w="3249"/>
            <w:shd w:val="clear" w:color="auto" w:fill="0177FF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Richiesta</w:t>
            </w:r>
          </w:p>
        </w:tc>
        <w:tc>
          <w:tcPr>
            <w:tcW w:type="dxa" w:w="3249"/>
            <w:shd w:val="clear" w:color="auto" w:fill="0177FF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Da quotare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Consegna alle sedi indicate, con imballi da ritirare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Sì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Sì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Registrazione degli identificativi hardware nel tenant del Committente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Sì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Sì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Etichettatura con inventario del Committente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[SÌ / NO]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Sì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Configurazione della postazione e primo avvio assistito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[SÌ / NO]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Sì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Trasferimento dei dati dalla postazione precedente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[SÌ / NO]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Sì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Affiancamento all'utente alla consegna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[SÌ / NO]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Sì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Ritiro dell'apparato dismesso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Sì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Sì</w:t>
            </w:r>
          </w:p>
        </w:tc>
      </w:tr>
    </w:tbl>
    <w:p/>
    <w:p>
      <w:pPr>
        <w:spacing w:after="120" w:line="360" w:lineRule="auto"/>
      </w:pPr>
      <w:r>
        <w:rPr>
          <w:rFonts w:ascii="Calibri" w:hAnsi="Calibri"/>
          <w:b w:val="0"/>
          <w:i w:val="0"/>
          <w:sz w:val="22"/>
        </w:rPr>
        <w:t>Termine di consegna richiesto: [N] giorni lavorativi dalla conferma d'ordine. L'offerta deve indicare il termine effettivo e la disponibilità di magazzino alla data dell'offerta. Consegne parziali sono ammesse solo se concordate per iscritto.</w:t>
      </w:r>
    </w:p>
    <w:p>
      <w:pPr>
        <w:pStyle w:val="Heading1"/>
        <w:spacing w:before="360" w:after="160"/>
      </w:pPr>
      <w:r>
        <w:rPr>
          <w:rFonts w:ascii="Calibri" w:hAnsi="Calibri"/>
          <w:b/>
          <w:color w:val="0177FF"/>
          <w:sz w:val="32"/>
        </w:rPr>
        <w:t>6. Ritiro dell'usato e cancellazione dei dati</w:t>
      </w:r>
    </w:p>
    <w:p>
      <w:pPr>
        <w:spacing w:after="120" w:line="360" w:lineRule="auto"/>
      </w:pPr>
      <w:r>
        <w:rPr>
          <w:rFonts w:ascii="Calibri" w:hAnsi="Calibri"/>
          <w:b w:val="0"/>
          <w:i w:val="0"/>
          <w:sz w:val="22"/>
        </w:rPr>
        <w:t>È la sezione che le richieste di offerta omettono più spesso, e che poi diventa un problema di responsabilità. Il fornitore deve dichiarare, per ciascun punto, chi risponde.</w:t>
      </w:r>
    </w:p>
    <w:p>
      <w:pPr>
        <w:pStyle w:val="ListBullet"/>
      </w:pPr>
      <w:r>
        <w:rPr>
          <w:rFonts w:ascii="Calibri" w:hAnsi="Calibri"/>
          <w:sz w:val="22"/>
        </w:rPr>
        <w:t>Ritiro degli apparati dismessi elencati in allegato, con presa in carico sottoscritta per numero di serie.</w:t>
      </w:r>
    </w:p>
    <w:p>
      <w:pPr>
        <w:pStyle w:val="ListBullet"/>
      </w:pPr>
      <w:r>
        <w:rPr>
          <w:rFonts w:ascii="Calibri" w:hAnsi="Calibri"/>
          <w:sz w:val="22"/>
        </w:rPr>
        <w:t>Cancellazione dei dati con un livello che renda il recupero non praticabile anche con tecniche di laboratorio, secondo la categoria «Purge» di NIST SP 800-88 Rev. 1, oppure distruzione fisica per i supporti non funzionanti.</w:t>
      </w:r>
    </w:p>
    <w:p>
      <w:pPr>
        <w:pStyle w:val="ListBullet"/>
      </w:pPr>
      <w:r>
        <w:rPr>
          <w:rFonts w:ascii="Calibri" w:hAnsi="Calibri"/>
          <w:sz w:val="22"/>
        </w:rPr>
        <w:t>Metodo dichiarato in offerta e adeguato al tipo di supporto: sui dischi a stato solido la sola sovrascrittura tramite interfaccia standard non è considerata sufficiente dal Committente.</w:t>
      </w:r>
    </w:p>
    <w:p>
      <w:pPr>
        <w:pStyle w:val="ListBullet"/>
      </w:pPr>
      <w:r>
        <w:rPr>
          <w:rFonts w:ascii="Calibri" w:hAnsi="Calibri"/>
          <w:sz w:val="22"/>
        </w:rPr>
        <w:t>Rilascio di attestazione di cancellazione o distruzione che elenchi i singoli numeri di serie. Un'attestazione cumulativa senza seriali non è accettata.</w:t>
      </w:r>
    </w:p>
    <w:p>
      <w:pPr>
        <w:pStyle w:val="ListBullet"/>
      </w:pPr>
      <w:r>
        <w:rPr>
          <w:rFonts w:ascii="Calibri" w:hAnsi="Calibri"/>
          <w:sz w:val="22"/>
        </w:rPr>
        <w:t>Conferimento a operatore autorizzato per i rifiuti da apparecchiature elettriche ed elettroniche, con consegna al Committente della documentazione di trasporto e conferimento.</w:t>
      </w:r>
    </w:p>
    <w:p>
      <w:pPr>
        <w:pStyle w:val="ListBullet"/>
      </w:pPr>
      <w:r>
        <w:rPr>
          <w:rFonts w:ascii="Calibri" w:hAnsi="Calibri"/>
          <w:sz w:val="22"/>
        </w:rPr>
        <w:t>Eventuale valore di permuta riconosciuto sugli apparati ritirati, indicato per profilo. L'assenza di valore va dichiarata, non omessa.</w:t>
      </w:r>
    </w:p>
    <w:p>
      <w:pPr>
        <w:spacing w:after="120" w:line="360" w:lineRule="auto"/>
      </w:pPr>
      <w:r>
        <w:rPr>
          <w:rFonts w:ascii="Calibri" w:hAnsi="Calibri"/>
          <w:b/>
          <w:i w:val="0"/>
          <w:sz w:val="21"/>
        </w:rPr>
        <w:t>Finché l'attestazione non è rilasciata, gli apparati ritirati si intendono in custodia del fornitore, che risponde della riservatezza dei dati in essi contenuti.</w:t>
      </w:r>
    </w:p>
    <w:p>
      <w:pPr>
        <w:pStyle w:val="Heading1"/>
        <w:spacing w:before="360" w:after="160"/>
      </w:pPr>
      <w:r>
        <w:rPr>
          <w:rFonts w:ascii="Calibri" w:hAnsi="Calibri"/>
          <w:b/>
          <w:color w:val="0177FF"/>
          <w:sz w:val="32"/>
        </w:rPr>
        <w:t>7. Garanzia e livelli di servizio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0177FF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Voce</w:t>
            </w:r>
          </w:p>
        </w:tc>
        <w:tc>
          <w:tcPr>
            <w:tcW w:type="dxa" w:w="3249"/>
            <w:shd w:val="clear" w:color="auto" w:fill="0177FF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Richiesta del Committente</w:t>
            </w:r>
          </w:p>
        </w:tc>
        <w:tc>
          <w:tcPr>
            <w:tcW w:type="dxa" w:w="3249"/>
            <w:shd w:val="clear" w:color="auto" w:fill="0177FF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Offerta del fornitore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Durata della garanzia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[N] anni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[DA COMPILARE]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Tipo di intervento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[IN SEDE / CENTRO ASSISTENZA]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[DA COMPILARE]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Tempo di presa in carico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[ORE / GIORNI LAVORATIVI]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[DA COMPILARE]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Tempo di ripristino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[ORE / GIORNI LAVORATIVI]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[DA COMPILARE]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Apparati sostitutivi durante la riparazione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[N] unità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[DA COMPILARE]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Conservazione del disco in caso di sostituzione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Il disco guasto resta al Committente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[DA COMPILARE]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Copertura per danni accidentali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[SÌ / NO]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[DA COMPILARE]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Garanzia sulla batteria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[N] anni o [N] cicli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[DA COMPILARE]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Canale di apertura chiamata e orari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[REQUISITO]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[DA COMPILARE]</w:t>
            </w:r>
          </w:p>
        </w:tc>
      </w:tr>
    </w:tbl>
    <w:p/>
    <w:p>
      <w:pPr>
        <w:spacing w:after="120" w:line="360" w:lineRule="auto"/>
      </w:pPr>
      <w:r>
        <w:rPr>
          <w:rFonts w:ascii="Calibri" w:hAnsi="Calibri"/>
          <w:b w:val="0"/>
          <w:i w:val="0"/>
          <w:color w:val="6C757D"/>
          <w:sz w:val="20"/>
        </w:rPr>
        <w:t>La riga sulla conservazione del disco non è un dettaglio: se in garanzia il disco guasto torna al produttore, i dati che conteneva escono dal perimetro del Committente. Richiedere la trattenuta del supporto è la scelta predefinita di questo capitolato.</w:t>
      </w:r>
    </w:p>
    <w:p>
      <w:pPr>
        <w:pStyle w:val="Heading1"/>
        <w:spacing w:before="360" w:after="160"/>
      </w:pPr>
      <w:r>
        <w:rPr>
          <w:rFonts w:ascii="Calibri" w:hAnsi="Calibri"/>
          <w:b/>
          <w:color w:val="0177FF"/>
          <w:sz w:val="32"/>
        </w:rPr>
        <w:t>8. Prezzi e modalità di acquisizione</w:t>
      </w:r>
    </w:p>
    <w:p>
      <w:pPr>
        <w:spacing w:after="120" w:line="360" w:lineRule="auto"/>
      </w:pPr>
      <w:r>
        <w:rPr>
          <w:rFonts w:ascii="Calibri" w:hAnsi="Calibri"/>
          <w:b w:val="0"/>
          <w:i w:val="0"/>
          <w:sz w:val="22"/>
        </w:rPr>
        <w:t>Il fornitore presenta il prezzo unitario per profilo e il totale, e — se disponibile — l'alternativa in noleggio operativo, in modo che il Committente possa confrontare le due strade sullo stesso perimetro.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0177FF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Voce</w:t>
            </w:r>
          </w:p>
        </w:tc>
        <w:tc>
          <w:tcPr>
            <w:tcW w:type="dxa" w:w="3249"/>
            <w:shd w:val="clear" w:color="auto" w:fill="0177FF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Acquisto</w:t>
            </w:r>
          </w:p>
        </w:tc>
        <w:tc>
          <w:tcPr>
            <w:tcW w:type="dxa" w:w="3249"/>
            <w:shd w:val="clear" w:color="auto" w:fill="0177FF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Noleggio operativo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Prezzo unitario per profilo (A / B / C)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[€]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n/a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Canone mensile per apparato e per profilo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n/a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[€]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Durata del contratto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n/a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[MESI]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Servizi compresi nel canone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n/a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[ELENCO]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Condizioni di riscatto o riconsegna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n/a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[CONDIZIONI]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Penali per recesso anticipato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n/a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[CONDIZIONI]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Servizi di installazione e provisioning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[€]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[€]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Ritiro, cancellazione e conferimento dell'usato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[€]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[€]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Valore di permuta riconosciuto (in detrazione)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[€]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[€]</w:t>
            </w:r>
          </w:p>
        </w:tc>
      </w:tr>
      <w:tr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TOTALE della fornitura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[€]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0"/>
              </w:rPr>
              <w:t>[€ / mese]</w:t>
            </w:r>
          </w:p>
        </w:tc>
      </w:tr>
    </w:tbl>
    <w:p/>
    <w:p>
      <w:pPr>
        <w:spacing w:after="120" w:line="360" w:lineRule="auto"/>
      </w:pPr>
      <w:r>
        <w:rPr>
          <w:rFonts w:ascii="Calibri" w:hAnsi="Calibri"/>
          <w:b w:val="0"/>
          <w:i w:val="0"/>
          <w:sz w:val="22"/>
        </w:rPr>
        <w:t>Condizioni di pagamento richieste: [CONDIZIONI]. Il prezzo si intende IVA esclusa, franco destino, imballi compresi.</w:t>
      </w:r>
    </w:p>
    <w:p>
      <w:pPr>
        <w:pStyle w:val="Heading1"/>
        <w:spacing w:before="360" w:after="160"/>
      </w:pPr>
      <w:r>
        <w:rPr>
          <w:rFonts w:ascii="Calibri" w:hAnsi="Calibri"/>
          <w:b/>
          <w:color w:val="0177FF"/>
          <w:sz w:val="32"/>
        </w:rPr>
        <w:t>9. Criteri di valutazione delle offerte</w:t>
      </w:r>
    </w:p>
    <w:p>
      <w:pPr>
        <w:spacing w:after="120" w:line="360" w:lineRule="auto"/>
      </w:pPr>
      <w:r>
        <w:rPr>
          <w:rFonts w:ascii="Calibri" w:hAnsi="Calibri"/>
          <w:b w:val="0"/>
          <w:i w:val="0"/>
          <w:sz w:val="22"/>
        </w:rPr>
        <w:t>Il Committente valuta le offerte ammissibili secondo i pesi seguenti. Dichiararli in anticipo cambia la qualità delle offerte che si ricevono: il fornitore sa su cosa conviene impegnarsi.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0177FF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Criterio</w:t>
            </w:r>
          </w:p>
        </w:tc>
        <w:tc>
          <w:tcPr>
            <w:tcW w:type="dxa" w:w="4873"/>
            <w:shd w:val="clear" w:color="auto" w:fill="0177FF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Peso</w:t>
            </w:r>
          </w:p>
        </w:tc>
      </w:tr>
      <w:tr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Prezzo complessivo della fornitura</w:t>
            </w:r>
          </w:p>
        </w:tc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[X] %</w:t>
            </w:r>
          </w:p>
        </w:tc>
      </w:tr>
      <w:tr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Rispondenza tecnica e margine sui requisiti minimi</w:t>
            </w:r>
          </w:p>
        </w:tc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[X] %</w:t>
            </w:r>
          </w:p>
        </w:tc>
      </w:tr>
      <w:tr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Livelli di servizio della garanzia (presa in carico e ripristino)</w:t>
            </w:r>
          </w:p>
        </w:tc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[X] %</w:t>
            </w:r>
          </w:p>
        </w:tc>
      </w:tr>
      <w:tr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Servizi di installazione, provisioning e affiancamento</w:t>
            </w:r>
          </w:p>
        </w:tc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[X] %</w:t>
            </w:r>
          </w:p>
        </w:tc>
      </w:tr>
      <w:tr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Gestione dell'usato: metodo di cancellazione e attestazioni</w:t>
            </w:r>
          </w:p>
        </w:tc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[X] %</w:t>
            </w:r>
          </w:p>
        </w:tc>
      </w:tr>
      <w:tr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Durata dichiarata del supporto software e firmware</w:t>
            </w:r>
          </w:p>
        </w:tc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[X] %</w:t>
            </w:r>
          </w:p>
        </w:tc>
      </w:tr>
      <w:tr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Termine di consegna</w:t>
            </w:r>
          </w:p>
        </w:tc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[X] %</w:t>
            </w:r>
          </w:p>
        </w:tc>
      </w:tr>
      <w:tr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TOTALE</w:t>
            </w:r>
          </w:p>
        </w:tc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100 %</w:t>
            </w:r>
          </w:p>
        </w:tc>
      </w:tr>
    </w:tbl>
    <w:p/>
    <w:p>
      <w:pPr>
        <w:spacing w:after="120" w:line="360" w:lineRule="auto"/>
      </w:pPr>
      <w:r>
        <w:rPr>
          <w:rFonts w:ascii="Calibri" w:hAnsi="Calibri"/>
          <w:b w:val="0"/>
          <w:i w:val="0"/>
          <w:sz w:val="22"/>
        </w:rPr>
        <w:t>Il Committente si riserva di non aggiudicare, di richiedere chiarimenti e di aggiudicare per singoli lotti. La presente richiesta non costituisce impegno all'acquisto.</w:t>
      </w:r>
    </w:p>
    <w:p>
      <w:pPr>
        <w:pStyle w:val="Heading1"/>
        <w:spacing w:before="360" w:after="160"/>
      </w:pPr>
      <w:r>
        <w:rPr>
          <w:rFonts w:ascii="Calibri" w:hAnsi="Calibri"/>
          <w:b/>
          <w:color w:val="0177FF"/>
          <w:sz w:val="32"/>
        </w:rPr>
        <w:t>10. Documenti da allegare all'offerta</w:t>
      </w:r>
    </w:p>
    <w:p>
      <w:pPr>
        <w:pStyle w:val="ListBullet"/>
      </w:pPr>
      <w:r>
        <w:rPr>
          <w:rFonts w:ascii="Calibri" w:hAnsi="Calibri"/>
          <w:sz w:val="22"/>
        </w:rPr>
        <w:t>Schede tecniche degli apparati offerti, con codice prodotto</w:t>
      </w:r>
    </w:p>
    <w:p>
      <w:pPr>
        <w:pStyle w:val="ListBullet"/>
      </w:pPr>
      <w:r>
        <w:rPr>
          <w:rFonts w:ascii="Calibri" w:hAnsi="Calibri"/>
          <w:sz w:val="22"/>
        </w:rPr>
        <w:t>Dichiarazione della data di fine supporto prevista per ciascun modello</w:t>
      </w:r>
    </w:p>
    <w:p>
      <w:pPr>
        <w:pStyle w:val="ListBullet"/>
      </w:pPr>
      <w:r>
        <w:rPr>
          <w:rFonts w:ascii="Calibri" w:hAnsi="Calibri"/>
          <w:sz w:val="22"/>
        </w:rPr>
        <w:t>Descrizione del metodo di cancellazione dei dati e modello di attestazione</w:t>
      </w:r>
    </w:p>
    <w:p>
      <w:pPr>
        <w:pStyle w:val="ListBullet"/>
      </w:pPr>
      <w:r>
        <w:rPr>
          <w:rFonts w:ascii="Calibri" w:hAnsi="Calibri"/>
          <w:sz w:val="22"/>
        </w:rPr>
        <w:t>Condizioni di garanzia del produttore e dell'eventuale estensione offerta</w:t>
      </w:r>
    </w:p>
    <w:p>
      <w:pPr>
        <w:pStyle w:val="ListBullet"/>
      </w:pPr>
      <w:r>
        <w:rPr>
          <w:rFonts w:ascii="Calibri" w:hAnsi="Calibri"/>
          <w:sz w:val="22"/>
        </w:rPr>
        <w:t>Elenco delle esclusioni rispetto al presente capitolato</w:t>
      </w:r>
    </w:p>
    <w:p>
      <w:pPr>
        <w:pStyle w:val="ListBullet"/>
      </w:pPr>
      <w:r>
        <w:rPr>
          <w:rFonts w:ascii="Calibri" w:hAnsi="Calibri"/>
          <w:sz w:val="22"/>
        </w:rPr>
        <w:t>[ALTRO: referenze, certificazioni, documentazione societaria]</w:t>
      </w:r>
    </w:p>
    <w:p>
      <w:pPr>
        <w:pStyle w:val="Heading1"/>
        <w:spacing w:before="360" w:after="160"/>
      </w:pPr>
      <w:r>
        <w:rPr>
          <w:rFonts w:ascii="Calibri" w:hAnsi="Calibri"/>
          <w:b/>
          <w:color w:val="0177FF"/>
          <w:sz w:val="32"/>
        </w:rPr>
        <w:t>11. Termini della procedura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0177FF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Fase</w:t>
            </w:r>
          </w:p>
        </w:tc>
        <w:tc>
          <w:tcPr>
            <w:tcW w:type="dxa" w:w="4873"/>
            <w:shd w:val="clear" w:color="auto" w:fill="0177FF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Termine</w:t>
            </w:r>
          </w:p>
        </w:tc>
      </w:tr>
      <w:tr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Richiesta di chiarimenti entro</w:t>
            </w:r>
          </w:p>
        </w:tc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[DATA]</w:t>
            </w:r>
          </w:p>
        </w:tc>
      </w:tr>
      <w:tr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Risposta ai chiarimenti entro</w:t>
            </w:r>
          </w:p>
        </w:tc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[DATA]</w:t>
            </w:r>
          </w:p>
        </w:tc>
      </w:tr>
      <w:tr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Presentazione dell'offerta entro</w:t>
            </w:r>
          </w:p>
        </w:tc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[DATA E ORA]</w:t>
            </w:r>
          </w:p>
        </w:tc>
      </w:tr>
      <w:tr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Validità dell'offerta</w:t>
            </w:r>
          </w:p>
        </w:tc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[N] giorni</w:t>
            </w:r>
          </w:p>
        </w:tc>
      </w:tr>
      <w:tr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Comunicazione dell'esito</w:t>
            </w:r>
          </w:p>
        </w:tc>
        <w:tc>
          <w:tcPr>
            <w:tcW w:type="dxa" w:w="4873"/>
          </w:tcPr>
          <w:p>
            <w:r>
              <w:rPr>
                <w:rFonts w:ascii="Calibri" w:hAnsi="Calibri"/>
                <w:sz w:val="20"/>
              </w:rPr>
              <w:t>[DATA]</w:t>
            </w:r>
          </w:p>
        </w:tc>
      </w:tr>
    </w:tbl>
    <w:p/>
    <w:p>
      <w:pPr>
        <w:spacing w:after="120" w:line="360" w:lineRule="auto"/>
      </w:pPr>
      <w:r>
        <w:rPr>
          <w:rFonts w:ascii="Calibri" w:hAnsi="Calibri"/>
          <w:b w:val="0"/>
          <w:i w:val="0"/>
          <w:sz w:val="22"/>
        </w:rPr>
        <w:t>Riferimento per la procedura: [NOME E COGNOME], [RUOLO], [EMAIL], [TELEFONO]. Le offerte vanno trasmesse a [INDIRIZZO EMAIL O CANALE].</w:t>
      </w:r>
    </w:p>
    <w:p>
      <w:pPr>
        <w:pStyle w:val="Heading1"/>
        <w:spacing w:before="360" w:after="160"/>
      </w:pPr>
      <w:r>
        <w:rPr>
          <w:rFonts w:ascii="Calibri" w:hAnsi="Calibri"/>
          <w:b/>
          <w:color w:val="0177FF"/>
          <w:sz w:val="32"/>
        </w:rPr>
        <w:t>Sottoscrizione</w:t>
      </w:r>
    </w:p>
    <w:p>
      <w:pPr>
        <w:spacing w:after="120" w:line="360" w:lineRule="auto"/>
      </w:pPr>
      <w:r>
        <w:rPr>
          <w:rFonts w:ascii="Calibri" w:hAnsi="Calibri"/>
          <w:b w:val="0"/>
          <w:i w:val="0"/>
          <w:sz w:val="22"/>
        </w:rPr>
        <w:t>Il fornitore, sottoscrivendo, dichiara di aver preso visione del presente capitolato e di accettarne i contenuti, salvo le esclusioni espressamente elencate in offerta.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F5F5F5"/>
          </w:tcPr>
          <w:p>
            <w:r>
              <w:rPr>
                <w:rFonts w:ascii="Calibri" w:hAnsi="Calibri"/>
                <w:b/>
                <w:sz w:val="22"/>
              </w:rPr>
              <w:t>Parte</w:t>
            </w:r>
          </w:p>
        </w:tc>
        <w:tc>
          <w:tcPr>
            <w:tcW w:type="dxa" w:w="3249"/>
            <w:shd w:val="clear" w:color="auto" w:fill="F5F5F5"/>
          </w:tcPr>
          <w:p>
            <w:r>
              <w:rPr>
                <w:rFonts w:ascii="Calibri" w:hAnsi="Calibri"/>
                <w:b/>
                <w:sz w:val="22"/>
              </w:rPr>
              <w:t>Data</w:t>
            </w:r>
          </w:p>
        </w:tc>
        <w:tc>
          <w:tcPr>
            <w:tcW w:type="dxa" w:w="3249"/>
            <w:shd w:val="clear" w:color="auto" w:fill="F5F5F5"/>
          </w:tcPr>
          <w:p>
            <w:r>
              <w:rPr>
                <w:rFonts w:ascii="Calibri" w:hAnsi="Calibri"/>
                <w:b/>
                <w:sz w:val="22"/>
              </w:rPr>
              <w:t>Firma</w:t>
            </w:r>
          </w:p>
        </w:tc>
      </w:tr>
      <w:tr>
        <w:trPr>
          <w:trHeight w:val="907"/>
        </w:trPr>
        <w:tc>
          <w:tcPr>
            <w:tcW w:type="dxa" w:w="3249"/>
          </w:tcPr>
          <w:p>
            <w:r>
              <w:rPr>
                <w:rFonts w:ascii="Calibri" w:hAnsi="Calibri"/>
                <w:sz w:val="22"/>
              </w:rPr>
              <w:t>Il Committente — [NOME AZIENDA]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2"/>
              </w:rPr>
              <w:t>_____ / _____ / _____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2"/>
              </w:rPr>
              <w:t>_______________________________</w:t>
            </w:r>
          </w:p>
        </w:tc>
      </w:tr>
      <w:tr>
        <w:trPr>
          <w:trHeight w:val="907"/>
        </w:trPr>
        <w:tc>
          <w:tcPr>
            <w:tcW w:type="dxa" w:w="3249"/>
          </w:tcPr>
          <w:p>
            <w:r>
              <w:rPr>
                <w:rFonts w:ascii="Calibri" w:hAnsi="Calibri"/>
                <w:sz w:val="22"/>
              </w:rPr>
              <w:t>Il Fornitore — [RAGIONE SOCIALE]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2"/>
              </w:rPr>
              <w:t>_____ / _____ / _____</w:t>
            </w:r>
          </w:p>
        </w:tc>
        <w:tc>
          <w:tcPr>
            <w:tcW w:type="dxa" w:w="3249"/>
          </w:tcPr>
          <w:p>
            <w:r>
              <w:rPr>
                <w:rFonts w:ascii="Calibri" w:hAnsi="Calibri"/>
                <w:sz w:val="22"/>
              </w:rPr>
              <w:t>_______________________________</w:t>
            </w:r>
          </w:p>
        </w:tc>
      </w:tr>
    </w:tbl>
    <w:p>
      <w:pPr>
        <w:spacing w:after="120" w:line="360" w:lineRule="auto"/>
      </w:pPr>
      <w:r>
        <w:rPr>
          <w:rFonts w:ascii="Calibri" w:hAnsi="Calibri"/>
          <w:b w:val="0"/>
          <w:i w:val="0"/>
          <w:sz w:val="22"/>
        </w:rPr>
      </w:r>
    </w:p>
    <w:p>
      <w:pPr>
        <w:spacing w:after="120" w:line="360" w:lineRule="auto"/>
      </w:pPr>
      <w:r>
        <w:rPr>
          <w:rFonts w:ascii="Calibri" w:hAnsi="Calibri"/>
          <w:b w:val="0"/>
          <w:i w:val="0"/>
          <w:sz w:val="21"/>
        </w:rPr>
        <w:t>Da usare con il template «TCO e piano di refresh del parco PC», che serve a decidere quali apparati mettere in questa richiesta, e con la «Checklist dismissione sicura dei dispositivi» per la parte di ritiro: synsphere.it/download</w:t>
      </w:r>
    </w:p>
    <w:p>
      <w:pPr>
        <w:spacing w:after="120" w:line="360" w:lineRule="auto"/>
      </w:pPr>
      <w:r>
        <w:rPr>
          <w:rFonts w:ascii="Calibri" w:hAnsi="Calibri"/>
          <w:b/>
          <w:i w:val="0"/>
          <w:sz w:val="21"/>
        </w:rPr>
        <w:t>SynSphere Italia — fornitura, configurazione e gestione del parco hardware per le PMI: synsphere.it/hardware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C757D"/>
        <w:sz w:val="18"/>
      </w:rPr>
      <w:t>Capitolato di fornitura hardware — modello  •  SynSphere Italia — https://www.synsphere.it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