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46"/>
      </w:tblGrid>
      <w:tr>
        <w:trPr>
          <w:trHeight w:val="907"/>
        </w:trPr>
        <w:tc>
          <w:tcPr>
            <w:tcW w:type="dxa" w:w="9746"/>
            <w:shd w:val="clear" w:color="auto" w:fill="0177FF"/>
            <w:vAlign w:val="center"/>
          </w:tcPr>
          <w:p>
            <w:pPr>
              <w:jc w:val="center"/>
            </w:pPr>
            <w:r>
              <w:rPr>
                <w:rFonts w:ascii="Calibri" w:hAnsi="Calibri"/>
                <w:b/>
                <w:color w:val="FFFFFF"/>
                <w:sz w:val="40"/>
              </w:rPr>
              <w:t>DISMISSIONE SICURA DEI DISPOSITIVI</w:t>
            </w:r>
          </w:p>
        </w:tc>
      </w:tr>
    </w:tbl>
    <w:p/>
    <w:p>
      <w:pPr>
        <w:spacing w:after="120" w:line="360" w:lineRule="auto"/>
        <w:jc w:val="center"/>
      </w:pPr>
      <w:r>
        <w:rPr>
          <w:rFonts w:ascii="Calibri" w:hAnsi="Calibri"/>
          <w:b w:val="0"/>
          <w:i/>
          <w:color w:val="6C757D"/>
          <w:sz w:val="22"/>
        </w:rPr>
        <w:t>Checklist operativa  •  PC, notebook, telefoni, tablet e dischi  •  a cura di SynSphere Italia</w:t>
      </w:r>
    </w:p>
    <w:p>
      <w:pPr>
        <w:spacing w:after="120" w:line="360" w:lineRule="auto"/>
        <w:jc w:val="center"/>
      </w:pPr>
      <w:r>
        <w:rPr>
          <w:rFonts w:ascii="Calibri" w:hAnsi="Calibri"/>
          <w:b w:val="0"/>
          <w:i/>
          <w:color w:val="6C757D"/>
          <w:sz w:val="19"/>
        </w:rPr>
        <w:t>Riferimenti verificati sulle fonti ufficiali il 18 agosto 2026 (elenco in fondo).</w:t>
      </w:r>
    </w:p>
    <w:p>
      <w:pPr>
        <w:pStyle w:val="Heading1"/>
        <w:spacing w:before="360" w:after="160"/>
      </w:pPr>
      <w:r>
        <w:rPr>
          <w:rFonts w:ascii="Calibri" w:hAnsi="Calibri"/>
          <w:b/>
          <w:color w:val="0177FF"/>
          <w:sz w:val="32"/>
        </w:rPr>
        <w:t>Perché «l'ho formattato» non è una risposta</w:t>
      </w:r>
    </w:p>
    <w:p>
      <w:pPr>
        <w:spacing w:after="120" w:line="360" w:lineRule="auto"/>
      </w:pPr>
      <w:r>
        <w:rPr>
          <w:rFonts w:ascii="Calibri" w:hAnsi="Calibri"/>
          <w:b w:val="0"/>
          <w:i w:val="0"/>
          <w:sz w:val="22"/>
        </w:rPr>
        <w:t>Un dispositivo che esce dall'azienda porta con sé posta, documenti, credenziali salvate e spesso dati di clienti e dipendenti. Nel momento in cui lo cedi, lo permuti o lo rottami, quello che c'era dentro non è più sotto il tuo controllo — ma la responsabilità di averlo cancellato resta tua, e va dimostrata, non dichiarata.</w:t>
      </w:r>
    </w:p>
    <w:p>
      <w:pPr>
        <w:spacing w:after="120" w:line="360" w:lineRule="auto"/>
      </w:pPr>
      <w:r>
        <w:rPr>
          <w:rFonts w:ascii="Calibri" w:hAnsi="Calibri"/>
          <w:b w:val="0"/>
          <w:i w:val="0"/>
          <w:sz w:val="22"/>
        </w:rPr>
        <w:t>Il problema tecnico è che il gesto a cui siamo abituati — sovrascrivere il disco — è nato per i dischi magnetici e non si trasferisce ai dischi a stato solido. NIST lo dice in modo esplicito nella pubblicazione SP 800-88: chi continua ad applicare le tecniche di sovrascrittura ai supporti flash "may be exposing their data to increased risk of unintentional disclosure". E aggiunge che "the burden falls on the user to accurately determine the media type and apply the associated sanitization procedure": stabilire che tipo di supporto hai in mano è parte del lavoro, non un dettaglio.</w:t>
      </w:r>
    </w:p>
    <w:p>
      <w:pPr>
        <w:spacing w:after="120" w:line="360" w:lineRule="auto"/>
      </w:pPr>
      <w:r>
        <w:rPr>
          <w:rFonts w:ascii="Calibri" w:hAnsi="Calibri"/>
          <w:b w:val="0"/>
          <w:i w:val="0"/>
          <w:sz w:val="22"/>
        </w:rPr>
        <w:t>Due conseguenze pratiche, entrambe dalla stessa fonte: la smagnetizzazione (degaussing) "no longer applies in most cases for flash memory-based devices", e la sovrascrittura fatta attraverso la normale interfaccia di lettura e scrittura non raggiunge le aree non mappate — settori difettosi e spazio non allocato restano fuori. Su un SSD, «l'ho riempito di zeri» non equivale a «non c'è più niente».</w:t>
      </w:r>
    </w:p>
    <w:p>
      <w:pPr>
        <w:spacing w:after="120" w:line="360" w:lineRule="auto"/>
      </w:pPr>
      <w:r>
        <w:rPr>
          <w:rFonts w:ascii="Calibri" w:hAnsi="Calibri"/>
          <w:b w:val="0"/>
          <w:i/>
          <w:color w:val="6C757D"/>
          <w:sz w:val="20"/>
        </w:rPr>
        <w:t>Documento operativo di supporto, non una consulenza legale né una certificazione. Le responsabilità in materia di protezione dei dati personali e di smaltimento restano dell'azienda titolare.</w:t>
      </w:r>
    </w:p>
    <w:p>
      <w:pPr>
        <w:pStyle w:val="Heading1"/>
        <w:spacing w:before="360" w:after="160"/>
      </w:pPr>
      <w:r>
        <w:rPr>
          <w:rFonts w:ascii="Calibri" w:hAnsi="Calibri"/>
          <w:b/>
          <w:color w:val="0177FF"/>
          <w:sz w:val="32"/>
        </w:rPr>
        <w:t>1. Prima di toccare il dispositivo</w:t>
      </w:r>
    </w:p>
    <w:p>
      <w:pPr>
        <w:spacing w:after="60"/>
        <w:ind w:left="227"/>
      </w:pPr>
      <w:r>
        <w:rPr>
          <w:rFonts w:ascii="Segoe UI Symbol" w:hAnsi="Segoe UI Symbol"/>
          <w:sz w:val="24"/>
        </w:rPr>
        <w:t xml:space="preserve">☐  </w:t>
      </w:r>
      <w:r>
        <w:rPr>
          <w:rFonts w:ascii="Calibri" w:hAnsi="Calibri"/>
          <w:sz w:val="21"/>
        </w:rPr>
        <w:t>Recupera la scheda del device dall'inventario: chi lo usava, da quando, che dati ci sono passati.</w:t>
      </w:r>
    </w:p>
    <w:p>
      <w:pPr>
        <w:spacing w:after="160"/>
        <w:ind w:left="652"/>
      </w:pPr>
      <w:r>
        <w:rPr>
          <w:rFonts w:ascii="Calibri" w:hAnsi="Calibri"/>
          <w:i/>
          <w:color w:val="6C757D"/>
          <w:sz w:val="19"/>
        </w:rPr>
        <w:t>Un portatile della direzione commerciale e un PC di reception non richiedono lo stesso livello di cancellazione. La classificazione decide il metodo, non il contrario.</w:t>
      </w:r>
    </w:p>
    <w:p>
      <w:pPr>
        <w:spacing w:after="60"/>
        <w:ind w:left="227"/>
      </w:pPr>
      <w:r>
        <w:rPr>
          <w:rFonts w:ascii="Segoe UI Symbol" w:hAnsi="Segoe UI Symbol"/>
          <w:sz w:val="24"/>
        </w:rPr>
        <w:t xml:space="preserve">☐  </w:t>
      </w:r>
      <w:r>
        <w:rPr>
          <w:rFonts w:ascii="Calibri" w:hAnsi="Calibri"/>
          <w:sz w:val="21"/>
        </w:rPr>
        <w:t>Verifica di chi è il dispositivo.</w:t>
      </w:r>
    </w:p>
    <w:p>
      <w:pPr>
        <w:spacing w:after="160"/>
        <w:ind w:left="652"/>
      </w:pPr>
      <w:r>
        <w:rPr>
          <w:rFonts w:ascii="Calibri" w:hAnsi="Calibri"/>
          <w:i/>
          <w:color w:val="6C757D"/>
          <w:sz w:val="19"/>
        </w:rPr>
        <w:t>Se è a noleggio o in leasing, la cancellazione va concordata con il contratto alla mano: stabilisci per iscritto chi cancella, con quale metodo e chi rilascia l'attestazione. È la domanda che nessuno fa alla riconsegna.</w:t>
      </w:r>
    </w:p>
    <w:p>
      <w:pPr>
        <w:spacing w:after="60"/>
        <w:ind w:left="227"/>
      </w:pPr>
      <w:r>
        <w:rPr>
          <w:rFonts w:ascii="Segoe UI Symbol" w:hAnsi="Segoe UI Symbol"/>
          <w:sz w:val="24"/>
        </w:rPr>
        <w:t xml:space="preserve">☐  </w:t>
      </w:r>
      <w:r>
        <w:rPr>
          <w:rFonts w:ascii="Calibri" w:hAnsi="Calibri"/>
          <w:sz w:val="21"/>
        </w:rPr>
        <w:t>Metti in salvo quello che serve ancora, e solo quello.</w:t>
      </w:r>
    </w:p>
    <w:p>
      <w:pPr>
        <w:spacing w:after="160"/>
        <w:ind w:left="652"/>
      </w:pPr>
      <w:r>
        <w:rPr>
          <w:rFonts w:ascii="Calibri" w:hAnsi="Calibri"/>
          <w:i/>
          <w:color w:val="6C757D"/>
          <w:sz w:val="19"/>
        </w:rPr>
        <w:t>File locali fuori da OneDrive o SharePoint, archivi di posta locali (.pst), certificati e chiavi installate, licenze legate alla macchina, configurazioni VPN. Fallo prima: dopo la cancellazione non c'è un ripensamento.</w:t>
      </w:r>
    </w:p>
    <w:p>
      <w:pPr>
        <w:spacing w:after="60"/>
        <w:ind w:left="227"/>
      </w:pPr>
      <w:r>
        <w:rPr>
          <w:rFonts w:ascii="Segoe UI Symbol" w:hAnsi="Segoe UI Symbol"/>
          <w:sz w:val="24"/>
        </w:rPr>
        <w:t xml:space="preserve">☐  </w:t>
      </w:r>
      <w:r>
        <w:rPr>
          <w:rFonts w:ascii="Calibri" w:hAnsi="Calibri"/>
          <w:sz w:val="21"/>
        </w:rPr>
        <w:t>Controlla se il device è la seconda credenziale di qualcuno.</w:t>
      </w:r>
    </w:p>
    <w:p>
      <w:pPr>
        <w:spacing w:after="160"/>
        <w:ind w:left="652"/>
      </w:pPr>
      <w:r>
        <w:rPr>
          <w:rFonts w:ascii="Calibri" w:hAnsi="Calibri"/>
          <w:i/>
          <w:color w:val="6C757D"/>
          <w:sz w:val="19"/>
        </w:rPr>
        <w:t>Un telefono registrato come metodo di autenticazione, un token, un certificato utente: cancellarlo senza aver prima spostato il metodo di accesso blocca la persona fuori dai sistemi.</w:t>
      </w:r>
    </w:p>
    <w:p>
      <w:pPr>
        <w:spacing w:after="60"/>
        <w:ind w:left="227"/>
      </w:pPr>
      <w:r>
        <w:rPr>
          <w:rFonts w:ascii="Segoe UI Symbol" w:hAnsi="Segoe UI Symbol"/>
          <w:sz w:val="24"/>
        </w:rPr>
        <w:t xml:space="preserve">☐  </w:t>
      </w:r>
      <w:r>
        <w:rPr>
          <w:rFonts w:ascii="Calibri" w:hAnsi="Calibri"/>
          <w:sz w:val="21"/>
        </w:rPr>
        <w:t>Annota il numero di serie. Da qui in avanti è l'identificativo che collega device, cancellazione e attestazione.</w:t>
      </w:r>
    </w:p>
    <w:p>
      <w:pPr>
        <w:pStyle w:val="Heading1"/>
        <w:spacing w:before="360" w:after="160"/>
      </w:pPr>
      <w:r>
        <w:rPr>
          <w:rFonts w:ascii="Calibri" w:hAnsi="Calibri"/>
          <w:b/>
          <w:color w:val="0177FF"/>
          <w:sz w:val="32"/>
        </w:rPr>
        <w:t>2. Scegliere il livello di cancellazione</w:t>
      </w:r>
    </w:p>
    <w:p>
      <w:pPr>
        <w:spacing w:after="120" w:line="360" w:lineRule="auto"/>
      </w:pPr>
      <w:r>
        <w:rPr>
          <w:rFonts w:ascii="Calibri" w:hAnsi="Calibri"/>
          <w:b w:val="0"/>
          <w:i w:val="0"/>
          <w:sz w:val="22"/>
        </w:rPr>
        <w:t>NIST SP 800-88 Rev. 1 definisce tre livelli. Non sono tre gradi di zelo: sono tre garanzie diverse, e la scelta dipende dai dati e dalla destinazione del supporto.</w:t>
      </w:r>
    </w:p>
    <w:tbl>
      <w:tblPr>
        <w:tblStyle w:val="LightGrid-Accent1"/>
        <w:tblW w:type="auto" w:w="0"/>
        <w:jc w:val="center"/>
        <w:tblLook w:firstColumn="1" w:firstRow="1" w:lastColumn="0" w:lastRow="0" w:noHBand="0" w:noVBand="1" w:val="04A0"/>
      </w:tblPr>
      <w:tblGrid>
        <w:gridCol w:w="3249"/>
        <w:gridCol w:w="3249"/>
        <w:gridCol w:w="3249"/>
      </w:tblGrid>
      <w:tr>
        <w:tc>
          <w:tcPr>
            <w:tcW w:type="dxa" w:w="3249"/>
            <w:shd w:val="clear" w:color="auto" w:fill="0177FF"/>
          </w:tcPr>
          <w:p>
            <w:r>
              <w:rPr>
                <w:rFonts w:ascii="Calibri" w:hAnsi="Calibri"/>
                <w:b/>
                <w:color w:val="FFFFFF"/>
                <w:sz w:val="20"/>
              </w:rPr>
              <w:t>Livello</w:t>
            </w:r>
          </w:p>
        </w:tc>
        <w:tc>
          <w:tcPr>
            <w:tcW w:type="dxa" w:w="3249"/>
            <w:shd w:val="clear" w:color="auto" w:fill="0177FF"/>
          </w:tcPr>
          <w:p>
            <w:r>
              <w:rPr>
                <w:rFonts w:ascii="Calibri" w:hAnsi="Calibri"/>
                <w:b/>
                <w:color w:val="FFFFFF"/>
                <w:sz w:val="20"/>
              </w:rPr>
              <w:t>Che garanzia dà</w:t>
            </w:r>
          </w:p>
        </w:tc>
        <w:tc>
          <w:tcPr>
            <w:tcW w:type="dxa" w:w="3249"/>
            <w:shd w:val="clear" w:color="auto" w:fill="0177FF"/>
          </w:tcPr>
          <w:p>
            <w:r>
              <w:rPr>
                <w:rFonts w:ascii="Calibri" w:hAnsi="Calibri"/>
                <w:b/>
                <w:color w:val="FFFFFF"/>
                <w:sz w:val="20"/>
              </w:rPr>
              <w:t>Quando ha senso</w:t>
            </w:r>
          </w:p>
        </w:tc>
      </w:tr>
      <w:tr>
        <w:tc>
          <w:tcPr>
            <w:tcW w:type="dxa" w:w="3249"/>
          </w:tcPr>
          <w:p>
            <w:r>
              <w:rPr>
                <w:rFonts w:ascii="Calibri" w:hAnsi="Calibri"/>
                <w:sz w:val="20"/>
              </w:rPr>
              <w:t>Clear</w:t>
            </w:r>
          </w:p>
        </w:tc>
        <w:tc>
          <w:tcPr>
            <w:tcW w:type="dxa" w:w="3249"/>
          </w:tcPr>
          <w:p>
            <w:r>
              <w:rPr>
                <w:rFonts w:ascii="Calibri" w:hAnsi="Calibri"/>
                <w:sz w:val="20"/>
              </w:rPr>
              <w:t>Applica tecniche logiche su tutte le posizioni indirizzabili dall'utente, per proteggere da tecniche di recupero semplici e non invasive. Tipicamente sovrascrittura, o il ripristino a stato di fabbrica dove la sovrascrittura non è supportata.</w:t>
            </w:r>
          </w:p>
        </w:tc>
        <w:tc>
          <w:tcPr>
            <w:tcW w:type="dxa" w:w="3249"/>
          </w:tcPr>
          <w:p>
            <w:r>
              <w:rPr>
                <w:rFonts w:ascii="Calibri" w:hAnsi="Calibri"/>
                <w:sz w:val="20"/>
              </w:rPr>
              <w:t>Il device resta in azienda: riassegnato a un altro reparto, rimesso in magazzino.</w:t>
            </w:r>
          </w:p>
        </w:tc>
      </w:tr>
      <w:tr>
        <w:tc>
          <w:tcPr>
            <w:tcW w:type="dxa" w:w="3249"/>
          </w:tcPr>
          <w:p>
            <w:r>
              <w:rPr>
                <w:rFonts w:ascii="Calibri" w:hAnsi="Calibri"/>
                <w:sz w:val="20"/>
              </w:rPr>
              <w:t>Purge</w:t>
            </w:r>
          </w:p>
        </w:tc>
        <w:tc>
          <w:tcPr>
            <w:tcW w:type="dxa" w:w="3249"/>
          </w:tcPr>
          <w:p>
            <w:r>
              <w:rPr>
                <w:rFonts w:ascii="Calibri" w:hAnsi="Calibri"/>
                <w:sz w:val="20"/>
              </w:rPr>
              <w:t>Applica tecniche fisiche o logiche che rendono il recupero dei dati non praticabile nemmeno con tecniche di laboratorio allo stato dell'arte.</w:t>
            </w:r>
          </w:p>
        </w:tc>
        <w:tc>
          <w:tcPr>
            <w:tcW w:type="dxa" w:w="3249"/>
          </w:tcPr>
          <w:p>
            <w:r>
              <w:rPr>
                <w:rFonts w:ascii="Calibri" w:hAnsi="Calibri"/>
                <w:sz w:val="20"/>
              </w:rPr>
              <w:t>Il device esce dall'azienda ma continua a esistere: permuta, rivendita, donazione, riconsegna al noleggiatore.</w:t>
            </w:r>
          </w:p>
        </w:tc>
      </w:tr>
      <w:tr>
        <w:tc>
          <w:tcPr>
            <w:tcW w:type="dxa" w:w="3249"/>
          </w:tcPr>
          <w:p>
            <w:r>
              <w:rPr>
                <w:rFonts w:ascii="Calibri" w:hAnsi="Calibri"/>
                <w:sz w:val="20"/>
              </w:rPr>
              <w:t>Destroy</w:t>
            </w:r>
          </w:p>
        </w:tc>
        <w:tc>
          <w:tcPr>
            <w:tcW w:type="dxa" w:w="3249"/>
          </w:tcPr>
          <w:p>
            <w:r>
              <w:rPr>
                <w:rFonts w:ascii="Calibri" w:hAnsi="Calibri"/>
                <w:sz w:val="20"/>
              </w:rPr>
              <w:t>Rende il recupero non praticabile con tecniche di laboratorio allo stato dell'arte e, in più, rende il supporto inutilizzabile per memorizzare dati.</w:t>
            </w:r>
          </w:p>
        </w:tc>
        <w:tc>
          <w:tcPr>
            <w:tcW w:type="dxa" w:w="3249"/>
          </w:tcPr>
          <w:p>
            <w:r>
              <w:rPr>
                <w:rFonts w:ascii="Calibri" w:hAnsi="Calibri"/>
                <w:sz w:val="20"/>
              </w:rPr>
              <w:t>Supporti guasti che non accettano comandi, dati ad alta sensibilità, casi in cui non puoi verificare la cancellazione.</w:t>
            </w:r>
          </w:p>
        </w:tc>
      </w:tr>
    </w:tbl>
    <w:p/>
    <w:p>
      <w:pPr>
        <w:spacing w:after="120" w:line="360" w:lineRule="auto"/>
      </w:pPr>
      <w:r>
        <w:rPr>
          <w:rFonts w:ascii="Calibri" w:hAnsi="Calibri"/>
          <w:b/>
          <w:i w:val="0"/>
          <w:sz w:val="21"/>
        </w:rPr>
        <w:t>⚠️ Un supporto che non risponde ai comandi non è cancellabile: se un disco è guasto, Purge non è un'opzione e si passa a Destroy. È il motivo per cui i dischi rotti non vanno «messi da parte» in un cassetto in attesa di decidere.</w:t>
      </w:r>
    </w:p>
    <w:p>
      <w:pPr>
        <w:pStyle w:val="Heading1"/>
        <w:spacing w:before="360" w:after="160"/>
      </w:pPr>
      <w:r>
        <w:rPr>
          <w:rFonts w:ascii="Calibri" w:hAnsi="Calibri"/>
          <w:b/>
          <w:color w:val="0177FF"/>
          <w:sz w:val="32"/>
        </w:rPr>
        <w:t>3. Il supporto detta il metodo</w:t>
      </w:r>
    </w:p>
    <w:p>
      <w:pPr>
        <w:spacing w:after="60"/>
        <w:ind w:left="227"/>
      </w:pPr>
      <w:r>
        <w:rPr>
          <w:rFonts w:ascii="Segoe UI Symbol" w:hAnsi="Segoe UI Symbol"/>
          <w:sz w:val="24"/>
        </w:rPr>
        <w:t xml:space="preserve">☐  </w:t>
      </w:r>
      <w:r>
        <w:rPr>
          <w:rFonts w:ascii="Calibri" w:hAnsi="Calibri"/>
          <w:sz w:val="21"/>
        </w:rPr>
        <w:t>Stabilisci che tipo di supporto contiene i dati: disco magnetico, disco a stato solido, memoria flash saldata, scheda di memoria.</w:t>
      </w:r>
    </w:p>
    <w:p>
      <w:pPr>
        <w:spacing w:after="160"/>
        <w:ind w:left="652"/>
      </w:pPr>
      <w:r>
        <w:rPr>
          <w:rFonts w:ascii="Calibri" w:hAnsi="Calibri"/>
          <w:i/>
          <w:color w:val="6C757D"/>
          <w:sz w:val="19"/>
        </w:rPr>
        <w:t>Su un portatile recente è quasi sempre flash, spesso saldata: non si estrae e non si smagnetizza. Se l'etichetta non lo dice, va verificato — NIST mette esplicitamente l'onere in capo a chi cancella.</w:t>
      </w:r>
    </w:p>
    <w:p>
      <w:pPr>
        <w:spacing w:after="60"/>
        <w:ind w:left="227"/>
      </w:pPr>
      <w:r>
        <w:rPr>
          <w:rFonts w:ascii="Segoe UI Symbol" w:hAnsi="Segoe UI Symbol"/>
          <w:sz w:val="24"/>
        </w:rPr>
        <w:t xml:space="preserve">☐  </w:t>
      </w:r>
      <w:r>
        <w:rPr>
          <w:rFonts w:ascii="Calibri" w:hAnsi="Calibri"/>
          <w:sz w:val="21"/>
        </w:rPr>
        <w:t>Non usare la smagnetizzazione sui supporti flash.</w:t>
      </w:r>
    </w:p>
    <w:p>
      <w:pPr>
        <w:spacing w:after="160"/>
        <w:ind w:left="652"/>
      </w:pPr>
      <w:r>
        <w:rPr>
          <w:rFonts w:ascii="Calibri" w:hAnsi="Calibri"/>
          <w:i/>
          <w:color w:val="6C757D"/>
          <w:sz w:val="19"/>
        </w:rPr>
        <w:t>Non funziona, e lascia la sensazione di aver fatto qualcosa.</w:t>
      </w:r>
    </w:p>
    <w:p>
      <w:pPr>
        <w:spacing w:after="60"/>
        <w:ind w:left="227"/>
      </w:pPr>
      <w:r>
        <w:rPr>
          <w:rFonts w:ascii="Segoe UI Symbol" w:hAnsi="Segoe UI Symbol"/>
          <w:sz w:val="24"/>
        </w:rPr>
        <w:t xml:space="preserve">☐  </w:t>
      </w:r>
      <w:r>
        <w:rPr>
          <w:rFonts w:ascii="Calibri" w:hAnsi="Calibri"/>
          <w:sz w:val="21"/>
        </w:rPr>
        <w:t>Non fermarti alla sovrascrittura su SSD.</w:t>
      </w:r>
    </w:p>
    <w:p>
      <w:pPr>
        <w:spacing w:after="160"/>
        <w:ind w:left="652"/>
      </w:pPr>
      <w:r>
        <w:rPr>
          <w:rFonts w:ascii="Calibri" w:hAnsi="Calibri"/>
          <w:i/>
          <w:color w:val="6C757D"/>
          <w:sz w:val="19"/>
        </w:rPr>
        <w:t>Le aree non mappate — settori difettosi, spazio non allocato — restano fuori. Servono i comandi dedicati di sanitizzazione del dispositivo, oppure la strada del punto 4.</w:t>
      </w:r>
    </w:p>
    <w:p>
      <w:pPr>
        <w:spacing w:after="60"/>
        <w:ind w:left="227"/>
      </w:pPr>
      <w:r>
        <w:rPr>
          <w:rFonts w:ascii="Segoe UI Symbol" w:hAnsi="Segoe UI Symbol"/>
          <w:sz w:val="24"/>
        </w:rPr>
        <w:t xml:space="preserve">☐  </w:t>
      </w:r>
      <w:r>
        <w:rPr>
          <w:rFonts w:ascii="Calibri" w:hAnsi="Calibri"/>
          <w:sz w:val="21"/>
        </w:rPr>
        <w:t>Se usi i comandi dedicati del produttore, conserva l'esito.</w:t>
      </w:r>
    </w:p>
    <w:p>
      <w:pPr>
        <w:spacing w:after="160"/>
        <w:ind w:left="652"/>
      </w:pPr>
      <w:r>
        <w:rPr>
          <w:rFonts w:ascii="Calibri" w:hAnsi="Calibri"/>
          <w:i/>
          <w:color w:val="6C757D"/>
          <w:sz w:val="19"/>
        </w:rPr>
        <w:t>Sono più efficaci perché indirizzano tutte le aree, ma richiedono di fidarsi del produttore sull'implementazione: l'output del comando è la tua prova.</w:t>
      </w:r>
    </w:p>
    <w:p>
      <w:pPr>
        <w:pStyle w:val="Heading1"/>
        <w:spacing w:before="360" w:after="160"/>
      </w:pPr>
      <w:r>
        <w:rPr>
          <w:rFonts w:ascii="Calibri" w:hAnsi="Calibri"/>
          <w:b/>
          <w:color w:val="0177FF"/>
          <w:sz w:val="32"/>
        </w:rPr>
        <w:t>4. La strada rapida e difendibile: cancellare la chiave</w:t>
      </w:r>
    </w:p>
    <w:p>
      <w:pPr>
        <w:spacing w:after="120" w:line="360" w:lineRule="auto"/>
      </w:pPr>
      <w:r>
        <w:rPr>
          <w:rFonts w:ascii="Calibri" w:hAnsi="Calibri"/>
          <w:b w:val="0"/>
          <w:i w:val="0"/>
          <w:sz w:val="22"/>
        </w:rPr>
        <w:t>Se il disco era cifrato dall'inizio, la cancellazione diventa un'altra operazione: invece di sanitizzare miliardi di celle, si sanitizza la chiave. NIST la chiama Cryptographic Erase e la descrive senza giri di parole: "Without the encryption key used to encrypt the target data, the data is unrecoverable". Sul piano operativo è la differenza fra un'operazione di ore e una di secondi.</w:t>
      </w:r>
    </w:p>
    <w:p>
      <w:pPr>
        <w:spacing w:after="60"/>
        <w:ind w:left="227"/>
      </w:pPr>
      <w:r>
        <w:rPr>
          <w:rFonts w:ascii="Segoe UI Symbol" w:hAnsi="Segoe UI Symbol"/>
          <w:sz w:val="24"/>
        </w:rPr>
        <w:t xml:space="preserve">☐  </w:t>
      </w:r>
      <w:r>
        <w:rPr>
          <w:rFonts w:ascii="Calibri" w:hAnsi="Calibri"/>
          <w:sz w:val="21"/>
        </w:rPr>
        <w:t>Verifica che la cifratura fosse attiva PRIMA che i dati fossero scritti.</w:t>
      </w:r>
    </w:p>
    <w:p>
      <w:pPr>
        <w:spacing w:after="160"/>
        <w:ind w:left="652"/>
      </w:pPr>
      <w:r>
        <w:rPr>
          <w:rFonts w:ascii="Calibri" w:hAnsi="Calibri"/>
          <w:i/>
          <w:color w:val="6C757D"/>
          <w:sz w:val="19"/>
        </w:rPr>
        <w:t>È la condizione che rende valida tutta la strada: cifrare un disco che ha già contenuto dati in chiaro non garantisce che da qualche parte non ne resti traccia. Attivare la cifratura di serie su tutta la flotta è, di fatto, una decisione sulla dismissione presa anni prima.</w:t>
      </w:r>
    </w:p>
    <w:p>
      <w:pPr>
        <w:spacing w:after="60"/>
        <w:ind w:left="227"/>
      </w:pPr>
      <w:r>
        <w:rPr>
          <w:rFonts w:ascii="Segoe UI Symbol" w:hAnsi="Segoe UI Symbol"/>
          <w:sz w:val="24"/>
        </w:rPr>
        <w:t xml:space="preserve">☐  </w:t>
      </w:r>
      <w:r>
        <w:rPr>
          <w:rFonts w:ascii="Calibri" w:hAnsi="Calibri"/>
          <w:sz w:val="21"/>
        </w:rPr>
        <w:t>Cancella o rendi inutilizzabili le chiavi, comprese le copie di recupero.</w:t>
      </w:r>
    </w:p>
    <w:p>
      <w:pPr>
        <w:spacing w:after="160"/>
        <w:ind w:left="652"/>
      </w:pPr>
      <w:r>
        <w:rPr>
          <w:rFonts w:ascii="Calibri" w:hAnsi="Calibri"/>
          <w:i/>
          <w:color w:val="6C757D"/>
          <w:sz w:val="19"/>
        </w:rPr>
        <w:t>Se la chiave di recupero è salvata nella directory aziendale o nel sistema di gestione, va rimossa anche da lì: finché esiste una copia, la cancellazione non è avvenuta.</w:t>
      </w:r>
    </w:p>
    <w:p>
      <w:pPr>
        <w:spacing w:after="60"/>
        <w:ind w:left="227"/>
      </w:pPr>
      <w:r>
        <w:rPr>
          <w:rFonts w:ascii="Segoe UI Symbol" w:hAnsi="Segoe UI Symbol"/>
          <w:sz w:val="24"/>
        </w:rPr>
        <w:t xml:space="preserve">☐  </w:t>
      </w:r>
      <w:r>
        <w:rPr>
          <w:rFonts w:ascii="Calibri" w:hAnsi="Calibri"/>
          <w:sz w:val="21"/>
        </w:rPr>
        <w:t>Verifica il risultato e conservane la prova.</w:t>
      </w:r>
    </w:p>
    <w:p>
      <w:pPr>
        <w:spacing w:after="160"/>
        <w:ind w:left="652"/>
      </w:pPr>
      <w:r>
        <w:rPr>
          <w:rFonts w:ascii="Calibri" w:hAnsi="Calibri"/>
          <w:i/>
          <w:color w:val="6C757D"/>
          <w:sz w:val="19"/>
        </w:rPr>
        <w:t>La verifica della cancellazione crittografica non è come quella della sovrascrittura: non puoi confrontare i contenuti con un valore atteso. Documenta il metodo che hai usato per verificare, non solo il fatto di aver verificato.</w:t>
      </w:r>
    </w:p>
    <w:p>
      <w:pPr>
        <w:pStyle w:val="Heading1"/>
        <w:spacing w:before="360" w:after="160"/>
      </w:pPr>
      <w:r>
        <w:rPr>
          <w:rFonts w:ascii="Calibri" w:hAnsi="Calibri"/>
          <w:b/>
          <w:color w:val="0177FF"/>
          <w:sz w:val="32"/>
        </w:rPr>
        <w:t>5. Cancellazione da remoto con Microsoft Intune</w:t>
      </w:r>
    </w:p>
    <w:p>
      <w:pPr>
        <w:spacing w:after="120" w:line="360" w:lineRule="auto"/>
      </w:pPr>
      <w:r>
        <w:rPr>
          <w:rFonts w:ascii="Calibri" w:hAnsi="Calibri"/>
          <w:b w:val="0"/>
          <w:i w:val="0"/>
          <w:sz w:val="22"/>
        </w:rPr>
        <w:t>Qui sta l'equivoco più diffuso: «ho fatto un Wipe da Intune» descrive tre operazioni diverse su Windows, e una sola delle tre sovrascrive lo spazio libero. Vale la pena sapere quale si sta lanciando.</w:t>
      </w:r>
    </w:p>
    <w:tbl>
      <w:tblPr>
        <w:tblStyle w:val="LightGrid-Accent1"/>
        <w:tblW w:type="auto" w:w="0"/>
        <w:jc w:val="center"/>
        <w:tblLook w:firstColumn="1" w:firstRow="1" w:lastColumn="0" w:lastRow="0" w:noHBand="0" w:noVBand="1" w:val="04A0"/>
      </w:tblPr>
      <w:tblGrid>
        <w:gridCol w:w="4873"/>
        <w:gridCol w:w="4873"/>
      </w:tblGrid>
      <w:tr>
        <w:tc>
          <w:tcPr>
            <w:tcW w:type="dxa" w:w="4873"/>
            <w:shd w:val="clear" w:color="auto" w:fill="0177FF"/>
          </w:tcPr>
          <w:p>
            <w:r>
              <w:rPr>
                <w:rFonts w:ascii="Calibri" w:hAnsi="Calibri"/>
                <w:b/>
                <w:color w:val="FFFFFF"/>
                <w:sz w:val="20"/>
              </w:rPr>
              <w:t>Opzione su Windows</w:t>
            </w:r>
          </w:p>
        </w:tc>
        <w:tc>
          <w:tcPr>
            <w:tcW w:type="dxa" w:w="4873"/>
            <w:shd w:val="clear" w:color="auto" w:fill="0177FF"/>
          </w:tcPr>
          <w:p>
            <w:r>
              <w:rPr>
                <w:rFonts w:ascii="Calibri" w:hAnsi="Calibri"/>
                <w:b/>
                <w:color w:val="FFFFFF"/>
                <w:sz w:val="20"/>
              </w:rPr>
              <w:t>Che cosa fa realmente</w:t>
            </w:r>
          </w:p>
        </w:tc>
      </w:tr>
      <w:tr>
        <w:tc>
          <w:tcPr>
            <w:tcW w:type="dxa" w:w="4873"/>
          </w:tcPr>
          <w:p>
            <w:r>
              <w:rPr>
                <w:rFonts w:ascii="Calibri" w:hAnsi="Calibri"/>
                <w:sz w:val="20"/>
              </w:rPr>
              <w:t>Nessuna opzione selezionata</w:t>
            </w:r>
          </w:p>
        </w:tc>
        <w:tc>
          <w:tcPr>
            <w:tcW w:type="dxa" w:w="4873"/>
          </w:tcPr>
          <w:p>
            <w:r>
              <w:rPr>
                <w:rFonts w:ascii="Calibri" w:hAnsi="Calibri"/>
                <w:sz w:val="20"/>
              </w:rPr>
              <w:t>Riporta il device alle impostazioni di fabbrica e cancella dati utente, impostazioni e criteri. Se l'operazione viene interrotta, il device tenta di tornare allo stato precedente: se il ripristino fallisce può diventare inutilizzabile e richiedere una reinstallazione completa di Windows.</w:t>
            </w:r>
          </w:p>
        </w:tc>
      </w:tr>
      <w:tr>
        <w:tc>
          <w:tcPr>
            <w:tcW w:type="dxa" w:w="4873"/>
          </w:tcPr>
          <w:p>
            <w:r>
              <w:rPr>
                <w:rFonts w:ascii="Calibri" w:hAnsi="Calibri"/>
                <w:sz w:val="20"/>
              </w:rPr>
              <w:t>Mantieni lo stato di registrazione e l'account utente</w:t>
            </w:r>
          </w:p>
        </w:tc>
        <w:tc>
          <w:tcPr>
            <w:tcW w:type="dxa" w:w="4873"/>
          </w:tcPr>
          <w:p>
            <w:r>
              <w:rPr>
                <w:rFonts w:ascii="Calibri" w:hAnsi="Calibri"/>
                <w:sz w:val="20"/>
              </w:rPr>
              <w:t>Ripristina le impostazioni di fabbrica MA conserva dati utente, account e impostazioni principali. I criteri di gestione vengono rimossi, il device resta registrato. Utile per rimettere in servizio una macchina — NON per dismetterla.</w:t>
            </w:r>
          </w:p>
        </w:tc>
      </w:tr>
      <w:tr>
        <w:tc>
          <w:tcPr>
            <w:tcW w:type="dxa" w:w="4873"/>
          </w:tcPr>
          <w:p>
            <w:r>
              <w:rPr>
                <w:rFonts w:ascii="Calibri" w:hAnsi="Calibri"/>
                <w:sz w:val="20"/>
              </w:rPr>
              <w:t>Continua la cancellazione anche in caso di spegnimento</w:t>
            </w:r>
          </w:p>
        </w:tc>
        <w:tc>
          <w:tcPr>
            <w:tcW w:type="dxa" w:w="4873"/>
          </w:tcPr>
          <w:p>
            <w:r>
              <w:rPr>
                <w:rFonts w:ascii="Calibri" w:hAnsi="Calibri"/>
                <w:sz w:val="20"/>
              </w:rPr>
              <w:t>Cancella tutto e SOVRASCRIVE LO SPAZIO LIBERO per impedire il recupero dei dati, proseguendo anche se il device perde alimentazione. È l'opzione pensata per i casi ad alta sicurezza, come un device smarrito o rubato.</w:t>
            </w:r>
          </w:p>
        </w:tc>
      </w:tr>
    </w:tbl>
    <w:p/>
    <w:p>
      <w:pPr>
        <w:spacing w:after="120" w:line="360" w:lineRule="auto"/>
      </w:pPr>
      <w:r>
        <w:rPr>
          <w:rFonts w:ascii="Calibri" w:hAnsi="Calibri"/>
          <w:b/>
          <w:i w:val="0"/>
          <w:sz w:val="21"/>
        </w:rPr>
        <w:t>⚠️ L'avvertenza di Microsoft sulla terza opzione va letta prima di usarla: può impedire ad alcuni dispositivi di riavviarsi, perché il processo può interferire con il ripristino di avvio o con le protezioni del firmware, lasciando il device non recuperabile. È indicata solo su dispositivi aziendali dove serve la distruzione completa dei dati e dove esistono procedure di ripristino.</w:t>
      </w:r>
    </w:p>
    <w:p>
      <w:pPr>
        <w:spacing w:after="60"/>
        <w:ind w:left="227"/>
      </w:pPr>
      <w:r>
        <w:rPr>
          <w:rFonts w:ascii="Segoe UI Symbol" w:hAnsi="Segoe UI Symbol"/>
          <w:sz w:val="24"/>
        </w:rPr>
        <w:t xml:space="preserve">☐  </w:t>
      </w:r>
      <w:r>
        <w:rPr>
          <w:rFonts w:ascii="Calibri" w:hAnsi="Calibri"/>
          <w:sz w:val="21"/>
        </w:rPr>
        <w:t>Scegli l'opzione in base alla destinazione del device, non per abitudine.</w:t>
      </w:r>
    </w:p>
    <w:p>
      <w:pPr>
        <w:spacing w:after="160"/>
        <w:ind w:left="652"/>
      </w:pPr>
      <w:r>
        <w:rPr>
          <w:rFonts w:ascii="Calibri" w:hAnsi="Calibri"/>
          <w:i/>
          <w:color w:val="6C757D"/>
          <w:sz w:val="19"/>
        </w:rPr>
        <w:t>Riassegnazione interna: la prima. Uscita dall'azienda con dati sensibili: la terza, sapendo che potresti non riaccenderlo. La seconda non è una dismissione.</w:t>
      </w:r>
    </w:p>
    <w:p>
      <w:pPr>
        <w:spacing w:after="60"/>
        <w:ind w:left="227"/>
      </w:pPr>
      <w:r>
        <w:rPr>
          <w:rFonts w:ascii="Segoe UI Symbol" w:hAnsi="Segoe UI Symbol"/>
          <w:sz w:val="24"/>
        </w:rPr>
        <w:t xml:space="preserve">☐  </w:t>
      </w:r>
      <w:r>
        <w:rPr>
          <w:rFonts w:ascii="Calibri" w:hAnsi="Calibri"/>
          <w:sz w:val="21"/>
        </w:rPr>
        <w:t>Ricorda che «Wipe» e «Retire» non sono la stessa cosa.</w:t>
      </w:r>
    </w:p>
    <w:p>
      <w:pPr>
        <w:spacing w:after="160"/>
        <w:ind w:left="652"/>
      </w:pPr>
      <w:r>
        <w:rPr>
          <w:rFonts w:ascii="Calibri" w:hAnsi="Calibri"/>
          <w:i/>
          <w:color w:val="6C757D"/>
          <w:sz w:val="19"/>
        </w:rPr>
        <w:t>Il Wipe è un ripristino di fabbrica: rimuove tutti i dati personali e aziendali, le app e le configurazioni. Per un device personale usato per lavoro l'operazione corretta è un'altra, e va scelta in base a chi possiede il dispositivo.</w:t>
      </w:r>
    </w:p>
    <w:p>
      <w:pPr>
        <w:spacing w:after="60"/>
        <w:ind w:left="227"/>
      </w:pPr>
      <w:r>
        <w:rPr>
          <w:rFonts w:ascii="Segoe UI Symbol" w:hAnsi="Segoe UI Symbol"/>
          <w:sz w:val="24"/>
        </w:rPr>
        <w:t xml:space="preserve">☐  </w:t>
      </w:r>
      <w:r>
        <w:rPr>
          <w:rFonts w:ascii="Calibri" w:hAnsi="Calibri"/>
          <w:sz w:val="21"/>
        </w:rPr>
        <w:t>Verifica il limite del tenant se stai dismettendo un lotto: 500 azioni di Wipe al giorno.</w:t>
      </w:r>
    </w:p>
    <w:p>
      <w:pPr>
        <w:spacing w:after="160"/>
        <w:ind w:left="652"/>
      </w:pPr>
      <w:r>
        <w:rPr>
          <w:rFonts w:ascii="Calibri" w:hAnsi="Calibri"/>
          <w:i/>
          <w:color w:val="6C757D"/>
          <w:sz w:val="19"/>
        </w:rPr>
        <w:t>È un limite cumulativo, che conta le azioni singole, quelle in blocco e quelle via API. Su una dismissione di massa va pianificato in più giornate, o richiesto un aumento al supporto Microsoft.</w:t>
      </w:r>
    </w:p>
    <w:p>
      <w:pPr>
        <w:spacing w:after="60"/>
        <w:ind w:left="227"/>
      </w:pPr>
      <w:r>
        <w:rPr>
          <w:rFonts w:ascii="Segoe UI Symbol" w:hAnsi="Segoe UI Symbol"/>
          <w:sz w:val="24"/>
        </w:rPr>
        <w:t xml:space="preserve">☐  </w:t>
      </w:r>
      <w:r>
        <w:rPr>
          <w:rFonts w:ascii="Calibri" w:hAnsi="Calibri"/>
          <w:sz w:val="21"/>
        </w:rPr>
        <w:t>Metti in conto che l'azione può richiedere una seconda approvazione.</w:t>
      </w:r>
    </w:p>
    <w:p>
      <w:pPr>
        <w:spacing w:after="160"/>
        <w:ind w:left="652"/>
      </w:pPr>
      <w:r>
        <w:rPr>
          <w:rFonts w:ascii="Calibri" w:hAnsi="Calibri"/>
          <w:i/>
          <w:color w:val="6C757D"/>
          <w:sz w:val="19"/>
        </w:rPr>
        <w:t>Se il tenant ha una policy di approvazione multipla per gli amministratori, un secondo amministratore deve approvare prima che il Wipe parta: non è un errore, è la policy.</w:t>
      </w:r>
    </w:p>
    <w:p>
      <w:pPr>
        <w:spacing w:after="120" w:line="360" w:lineRule="auto"/>
      </w:pPr>
      <w:r>
        <w:rPr>
          <w:rFonts w:ascii="Calibri" w:hAnsi="Calibri"/>
          <w:b/>
          <w:i w:val="0"/>
          <w:sz w:val="21"/>
        </w:rPr>
        <w:t>Le trappole per piattaforma (verificate sulla fonte)</w:t>
      </w:r>
    </w:p>
    <w:p>
      <w:pPr>
        <w:spacing w:after="60"/>
        <w:ind w:left="227"/>
      </w:pPr>
      <w:r>
        <w:rPr>
          <w:rFonts w:ascii="Segoe UI Symbol" w:hAnsi="Segoe UI Symbol"/>
          <w:sz w:val="24"/>
        </w:rPr>
        <w:t xml:space="preserve">☐  </w:t>
      </w:r>
      <w:r>
        <w:rPr>
          <w:rFonts w:ascii="Calibri" w:hAnsi="Calibri"/>
          <w:sz w:val="21"/>
        </w:rPr>
        <w:t>Android Zebra: il Wipe rimuove SOLO i dati aziendali, non fa il ripristino di fabbrica.</w:t>
      </w:r>
    </w:p>
    <w:p>
      <w:pPr>
        <w:spacing w:after="160"/>
        <w:ind w:left="652"/>
      </w:pPr>
      <w:r>
        <w:rPr>
          <w:rFonts w:ascii="Calibri" w:hAnsi="Calibri"/>
          <w:i/>
          <w:color w:val="6C757D"/>
          <w:sz w:val="19"/>
        </w:rPr>
        <w:t>Su quei terminali il ripristino si ottiene con gli strumenti del produttore. Chi dà per scontato il contrario consegna al fornitore un device pieno di dati.</w:t>
      </w:r>
    </w:p>
    <w:p>
      <w:pPr>
        <w:spacing w:after="60"/>
        <w:ind w:left="227"/>
      </w:pPr>
      <w:r>
        <w:rPr>
          <w:rFonts w:ascii="Segoe UI Symbol" w:hAnsi="Segoe UI Symbol"/>
          <w:sz w:val="24"/>
        </w:rPr>
        <w:t xml:space="preserve">☐  </w:t>
      </w:r>
      <w:r>
        <w:rPr>
          <w:rFonts w:ascii="Calibri" w:hAnsi="Calibri"/>
          <w:sz w:val="21"/>
        </w:rPr>
        <w:t>Android Samsung gestiti: se il ripristino di fabbrica è bloccato dalle restrizioni, il Wipe non si completa.</w:t>
      </w:r>
    </w:p>
    <w:p>
      <w:pPr>
        <w:spacing w:after="160"/>
        <w:ind w:left="652"/>
      </w:pPr>
      <w:r>
        <w:rPr>
          <w:rFonts w:ascii="Calibri" w:hAnsi="Calibri"/>
          <w:i/>
          <w:color w:val="6C757D"/>
          <w:sz w:val="19"/>
        </w:rPr>
        <w:t>Il device perde il contatto con Intune e resta a metà. La restrizione va rimossa prima.</w:t>
      </w:r>
    </w:p>
    <w:p>
      <w:pPr>
        <w:spacing w:after="60"/>
        <w:ind w:left="227"/>
      </w:pPr>
      <w:r>
        <w:rPr>
          <w:rFonts w:ascii="Segoe UI Symbol" w:hAnsi="Segoe UI Symbol"/>
          <w:sz w:val="24"/>
        </w:rPr>
        <w:t xml:space="preserve">☐  </w:t>
      </w:r>
      <w:r>
        <w:rPr>
          <w:rFonts w:ascii="Calibri" w:hAnsi="Calibri"/>
          <w:sz w:val="21"/>
        </w:rPr>
        <w:t>macOS senza chip T2 (modelli fino al 2018, o macOS 10.14 e precedenti): serve un PIN di recupero a sei cifre.</w:t>
      </w:r>
    </w:p>
    <w:p>
      <w:pPr>
        <w:spacing w:after="160"/>
        <w:ind w:left="652"/>
      </w:pPr>
      <w:r>
        <w:rPr>
          <w:rFonts w:ascii="Calibri" w:hAnsi="Calibri"/>
          <w:i/>
          <w:color w:val="6C757D"/>
          <w:sz w:val="19"/>
        </w:rPr>
        <w:t>Il PIN è richiesto per reinstallare il sistema operativo e non è più visibile dopo la cancellazione: va annotato e consegnato a chi riceverà il device.</w:t>
      </w:r>
    </w:p>
    <w:p>
      <w:pPr>
        <w:spacing w:after="60"/>
        <w:ind w:left="227"/>
      </w:pPr>
      <w:r>
        <w:rPr>
          <w:rFonts w:ascii="Segoe UI Symbol" w:hAnsi="Segoe UI Symbol"/>
          <w:sz w:val="24"/>
        </w:rPr>
        <w:t xml:space="preserve">☐  </w:t>
      </w:r>
      <w:r>
        <w:rPr>
          <w:rFonts w:ascii="Calibri" w:hAnsi="Calibri"/>
          <w:sz w:val="21"/>
        </w:rPr>
        <w:t>ChromeOS: prima di cancellare, togli il provisioning.</w:t>
      </w:r>
    </w:p>
    <w:p>
      <w:pPr>
        <w:spacing w:after="160"/>
        <w:ind w:left="652"/>
      </w:pPr>
      <w:r>
        <w:rPr>
          <w:rFonts w:ascii="Calibri" w:hAnsi="Calibri"/>
          <w:i/>
          <w:color w:val="6C757D"/>
          <w:sz w:val="19"/>
        </w:rPr>
        <w:t>Altrimenti, appena il device si collega a una rete Wi-Fi, si registra di nuovo da solo.</w:t>
      </w:r>
    </w:p>
    <w:p>
      <w:pPr>
        <w:pStyle w:val="Heading1"/>
        <w:spacing w:before="360" w:after="160"/>
      </w:pPr>
      <w:r>
        <w:rPr>
          <w:rFonts w:ascii="Calibri" w:hAnsi="Calibri"/>
          <w:b/>
          <w:color w:val="0177FF"/>
          <w:sz w:val="32"/>
        </w:rPr>
        <w:t>6. Scollegare le identità (il passaggio che si dimentica)</w:t>
      </w:r>
    </w:p>
    <w:p>
      <w:pPr>
        <w:spacing w:after="60"/>
        <w:ind w:left="227"/>
      </w:pPr>
      <w:r>
        <w:rPr>
          <w:rFonts w:ascii="Segoe UI Symbol" w:hAnsi="Segoe UI Symbol"/>
          <w:sz w:val="24"/>
        </w:rPr>
        <w:t xml:space="preserve">☐  </w:t>
      </w:r>
      <w:r>
        <w:rPr>
          <w:rFonts w:ascii="Calibri" w:hAnsi="Calibri"/>
          <w:sz w:val="21"/>
        </w:rPr>
        <w:t>Rimuovi la registrazione del device dal servizio di provisioning automatico.</w:t>
      </w:r>
    </w:p>
    <w:p>
      <w:pPr>
        <w:spacing w:after="160"/>
        <w:ind w:left="652"/>
      </w:pPr>
      <w:r>
        <w:rPr>
          <w:rFonts w:ascii="Calibri" w:hAnsi="Calibri"/>
          <w:i/>
          <w:color w:val="6C757D"/>
          <w:sz w:val="19"/>
        </w:rPr>
        <w:t>Un device ancora registrato ad Autopilot che finisce a un altro proprietario tenta di configurarsi con il tuo tenant.</w:t>
      </w:r>
    </w:p>
    <w:p>
      <w:pPr>
        <w:spacing w:after="60"/>
        <w:ind w:left="227"/>
      </w:pPr>
      <w:r>
        <w:rPr>
          <w:rFonts w:ascii="Segoe UI Symbol" w:hAnsi="Segoe UI Symbol"/>
          <w:sz w:val="24"/>
        </w:rPr>
        <w:t xml:space="preserve">☐  </w:t>
      </w:r>
      <w:r>
        <w:rPr>
          <w:rFonts w:ascii="Calibri" w:hAnsi="Calibri"/>
          <w:sz w:val="21"/>
        </w:rPr>
        <w:t>Elimina il record del device dalla directory aziendale.</w:t>
      </w:r>
    </w:p>
    <w:p>
      <w:pPr>
        <w:spacing w:after="160"/>
        <w:ind w:left="652"/>
      </w:pPr>
      <w:r>
        <w:rPr>
          <w:rFonts w:ascii="Calibri" w:hAnsi="Calibri"/>
          <w:i/>
          <w:color w:val="6C757D"/>
          <w:sz w:val="19"/>
        </w:rPr>
        <w:t>Serve a non lasciare autorizzazioni residue e record obsoleti che sporcano inventario e reportistica di conformità. È un passaggio separato dalla cancellazione: la cancellazione del disco non tocca la directory.</w:t>
      </w:r>
    </w:p>
    <w:p>
      <w:pPr>
        <w:spacing w:after="60"/>
        <w:ind w:left="227"/>
      </w:pPr>
      <w:r>
        <w:rPr>
          <w:rFonts w:ascii="Segoe UI Symbol" w:hAnsi="Segoe UI Symbol"/>
          <w:sz w:val="24"/>
        </w:rPr>
        <w:t xml:space="preserve">☐  </w:t>
      </w:r>
      <w:r>
        <w:rPr>
          <w:rFonts w:ascii="Calibri" w:hAnsi="Calibri"/>
          <w:sz w:val="21"/>
        </w:rPr>
        <w:t>Revoca sessioni e token attivi associati al device.</w:t>
      </w:r>
    </w:p>
    <w:p>
      <w:pPr>
        <w:spacing w:after="60"/>
        <w:ind w:left="227"/>
      </w:pPr>
      <w:r>
        <w:rPr>
          <w:rFonts w:ascii="Segoe UI Symbol" w:hAnsi="Segoe UI Symbol"/>
          <w:sz w:val="24"/>
        </w:rPr>
        <w:t xml:space="preserve">☐  </w:t>
      </w:r>
      <w:r>
        <w:rPr>
          <w:rFonts w:ascii="Calibri" w:hAnsi="Calibri"/>
          <w:sz w:val="21"/>
        </w:rPr>
        <w:t>Libera le licenze e gli abbonamenti legati alla macchina.</w:t>
      </w:r>
    </w:p>
    <w:p>
      <w:pPr>
        <w:spacing w:after="160"/>
        <w:ind w:left="652"/>
      </w:pPr>
      <w:r>
        <w:rPr>
          <w:rFonts w:ascii="Calibri" w:hAnsi="Calibri"/>
          <w:i/>
          <w:color w:val="6C757D"/>
          <w:sz w:val="19"/>
        </w:rPr>
        <w:t>Software con attivazione per dispositivo: se non lo liberi, hai comprato una licenza che sta su un PC in discarica.</w:t>
      </w:r>
    </w:p>
    <w:p>
      <w:pPr>
        <w:spacing w:after="60"/>
        <w:ind w:left="227"/>
      </w:pPr>
      <w:r>
        <w:rPr>
          <w:rFonts w:ascii="Segoe UI Symbol" w:hAnsi="Segoe UI Symbol"/>
          <w:sz w:val="24"/>
        </w:rPr>
        <w:t xml:space="preserve">☐  </w:t>
      </w:r>
      <w:r>
        <w:rPr>
          <w:rFonts w:ascii="Calibri" w:hAnsi="Calibri"/>
          <w:sz w:val="21"/>
        </w:rPr>
        <w:t>Rimuovi il device dal monitoraggio, dal backup e dagli strumenti di sicurezza.</w:t>
      </w:r>
    </w:p>
    <w:p>
      <w:pPr>
        <w:pStyle w:val="Heading1"/>
        <w:spacing w:before="360" w:after="160"/>
      </w:pPr>
      <w:r>
        <w:rPr>
          <w:rFonts w:ascii="Calibri" w:hAnsi="Calibri"/>
          <w:b/>
          <w:color w:val="0177FF"/>
          <w:sz w:val="32"/>
        </w:rPr>
        <w:t>7. Documentare: è la parte che vale in caso di contestazione</w:t>
      </w:r>
    </w:p>
    <w:p>
      <w:pPr>
        <w:spacing w:after="120" w:line="360" w:lineRule="auto"/>
      </w:pPr>
      <w:r>
        <w:rPr>
          <w:rFonts w:ascii="Calibri" w:hAnsi="Calibri"/>
          <w:b w:val="0"/>
          <w:i w:val="0"/>
          <w:sz w:val="22"/>
        </w:rPr>
        <w:t>La cancellazione che non è documentata, ai fini di una verifica, non è avvenuta. Il registro non deve essere complicato: deve esistere ed essere coerente.</w:t>
      </w:r>
    </w:p>
    <w:p>
      <w:pPr>
        <w:spacing w:after="60"/>
        <w:ind w:left="227"/>
      </w:pPr>
      <w:r>
        <w:rPr>
          <w:rFonts w:ascii="Segoe UI Symbol" w:hAnsi="Segoe UI Symbol"/>
          <w:sz w:val="24"/>
        </w:rPr>
        <w:t xml:space="preserve">☐  </w:t>
      </w:r>
      <w:r>
        <w:rPr>
          <w:rFonts w:ascii="Calibri" w:hAnsi="Calibri"/>
          <w:sz w:val="21"/>
        </w:rPr>
        <w:t>Compila una riga per device con: numero di serie, tipo di supporto, livello applicato (Clear / Purge / Destroy), metodo e strumento, data, chi ha eseguito, chi ha verificato.</w:t>
      </w:r>
    </w:p>
    <w:p>
      <w:pPr>
        <w:spacing w:after="60"/>
        <w:ind w:left="227"/>
      </w:pPr>
      <w:r>
        <w:rPr>
          <w:rFonts w:ascii="Segoe UI Symbol" w:hAnsi="Segoe UI Symbol"/>
          <w:sz w:val="24"/>
        </w:rPr>
        <w:t xml:space="preserve">☐  </w:t>
      </w:r>
      <w:r>
        <w:rPr>
          <w:rFonts w:ascii="Calibri" w:hAnsi="Calibri"/>
          <w:sz w:val="21"/>
        </w:rPr>
        <w:t>Conserva l'esito dello strumento, non solo la spunta.</w:t>
      </w:r>
    </w:p>
    <w:p>
      <w:pPr>
        <w:spacing w:after="160"/>
        <w:ind w:left="652"/>
      </w:pPr>
      <w:r>
        <w:rPr>
          <w:rFonts w:ascii="Calibri" w:hAnsi="Calibri"/>
          <w:i/>
          <w:color w:val="6C757D"/>
          <w:sz w:val="19"/>
        </w:rPr>
        <w:t>Il report del software di cancellazione, l'output del comando, la schermata dell'esito in Intune.</w:t>
      </w:r>
    </w:p>
    <w:p>
      <w:pPr>
        <w:spacing w:after="60"/>
        <w:ind w:left="227"/>
      </w:pPr>
      <w:r>
        <w:rPr>
          <w:rFonts w:ascii="Segoe UI Symbol" w:hAnsi="Segoe UI Symbol"/>
          <w:sz w:val="24"/>
        </w:rPr>
        <w:t xml:space="preserve">☐  </w:t>
      </w:r>
      <w:r>
        <w:rPr>
          <w:rFonts w:ascii="Calibri" w:hAnsi="Calibri"/>
          <w:sz w:val="21"/>
        </w:rPr>
        <w:t>Se la cancellazione o la distruzione le fa un fornitore, pretendi l'attestazione con i numeri di serie.</w:t>
      </w:r>
    </w:p>
    <w:p>
      <w:pPr>
        <w:spacing w:after="160"/>
        <w:ind w:left="652"/>
      </w:pPr>
      <w:r>
        <w:rPr>
          <w:rFonts w:ascii="Calibri" w:hAnsi="Calibri"/>
          <w:i/>
          <w:color w:val="6C757D"/>
          <w:sz w:val="19"/>
        </w:rPr>
        <w:t>Un attestato che non elenca i seriali non collega la distruzione ai tuoi dispositivi, e quindi non dimostra niente. Se il fornitore non lo emette, è un'informazione utile sul fornitore.</w:t>
      </w:r>
    </w:p>
    <w:p>
      <w:pPr>
        <w:spacing w:after="60"/>
        <w:ind w:left="227"/>
      </w:pPr>
      <w:r>
        <w:rPr>
          <w:rFonts w:ascii="Segoe UI Symbol" w:hAnsi="Segoe UI Symbol"/>
          <w:sz w:val="24"/>
        </w:rPr>
        <w:t xml:space="preserve">☐  </w:t>
      </w:r>
      <w:r>
        <w:rPr>
          <w:rFonts w:ascii="Calibri" w:hAnsi="Calibri"/>
          <w:sz w:val="21"/>
        </w:rPr>
        <w:t>Tieni il registro insieme alla documentazione sul trattamento dei dati, non nella cartella dell'IT.</w:t>
      </w:r>
    </w:p>
    <w:p>
      <w:pPr>
        <w:spacing w:after="160"/>
        <w:ind w:left="652"/>
      </w:pPr>
      <w:r>
        <w:rPr>
          <w:rFonts w:ascii="Calibri" w:hAnsi="Calibri"/>
          <w:i/>
          <w:color w:val="6C757D"/>
          <w:sz w:val="19"/>
        </w:rPr>
        <w:t>Serve a chi risponde in caso di verifica, che di solito non è la persona che ha cancellato il disco.</w:t>
      </w:r>
    </w:p>
    <w:p>
      <w:pPr>
        <w:pStyle w:val="Heading1"/>
        <w:spacing w:before="360" w:after="160"/>
      </w:pPr>
      <w:r>
        <w:rPr>
          <w:rFonts w:ascii="Calibri" w:hAnsi="Calibri"/>
          <w:b/>
          <w:color w:val="0177FF"/>
          <w:sz w:val="32"/>
        </w:rPr>
        <w:t>8. Destinazione finale</w:t>
      </w:r>
    </w:p>
    <w:p>
      <w:pPr>
        <w:spacing w:after="60"/>
        <w:ind w:left="227"/>
      </w:pPr>
      <w:r>
        <w:rPr>
          <w:rFonts w:ascii="Segoe UI Symbol" w:hAnsi="Segoe UI Symbol"/>
          <w:sz w:val="24"/>
        </w:rPr>
        <w:t xml:space="preserve">☐  </w:t>
      </w:r>
      <w:r>
        <w:rPr>
          <w:rFonts w:ascii="Calibri" w:hAnsi="Calibri"/>
          <w:sz w:val="21"/>
        </w:rPr>
        <w:t>Riuso interno: livello Clear, poi rimessa in servizio con una configurazione pulita.</w:t>
      </w:r>
    </w:p>
    <w:p>
      <w:pPr>
        <w:spacing w:after="160"/>
        <w:ind w:left="652"/>
      </w:pPr>
      <w:r>
        <w:rPr>
          <w:rFonts w:ascii="Calibri" w:hAnsi="Calibri"/>
          <w:i/>
          <w:color w:val="6C757D"/>
          <w:sz w:val="19"/>
        </w:rPr>
        <w:t>Se ha senso rimetterlo in servizio lo dice il modello TCO, non l'affetto: vedi il template «TCO e refresh del parco PC» su synsphere.it/download</w:t>
      </w:r>
    </w:p>
    <w:p>
      <w:pPr>
        <w:spacing w:after="60"/>
        <w:ind w:left="227"/>
      </w:pPr>
      <w:r>
        <w:rPr>
          <w:rFonts w:ascii="Segoe UI Symbol" w:hAnsi="Segoe UI Symbol"/>
          <w:sz w:val="24"/>
        </w:rPr>
        <w:t xml:space="preserve">☐  </w:t>
      </w:r>
      <w:r>
        <w:rPr>
          <w:rFonts w:ascii="Calibri" w:hAnsi="Calibri"/>
          <w:sz w:val="21"/>
        </w:rPr>
        <w:t>Permuta, rivendita o donazione: livello Purge e attestazione, prima che il device esca dal tuo perimetro.</w:t>
      </w:r>
    </w:p>
    <w:p>
      <w:pPr>
        <w:spacing w:after="160"/>
        <w:ind w:left="652"/>
      </w:pPr>
      <w:r>
        <w:rPr>
          <w:rFonts w:ascii="Calibri" w:hAnsi="Calibri"/>
          <w:i/>
          <w:color w:val="6C757D"/>
          <w:sz w:val="19"/>
        </w:rPr>
        <w:t>Non «prima che arrivi a destinazione»: prima che esca. Il momento in cui perdi il controllo fisico è quello che conta.</w:t>
      </w:r>
    </w:p>
    <w:p>
      <w:pPr>
        <w:spacing w:after="60"/>
        <w:ind w:left="227"/>
      </w:pPr>
      <w:r>
        <w:rPr>
          <w:rFonts w:ascii="Segoe UI Symbol" w:hAnsi="Segoe UI Symbol"/>
          <w:sz w:val="24"/>
        </w:rPr>
        <w:t xml:space="preserve">☐  </w:t>
      </w:r>
      <w:r>
        <w:rPr>
          <w:rFonts w:ascii="Calibri" w:hAnsi="Calibri"/>
          <w:sz w:val="21"/>
        </w:rPr>
        <w:t>Fine vita: conferimento a un operatore autorizzato per i rifiuti da apparecchiature elettriche ed elettroniche, con la documentazione di trasporto e conferimento.</w:t>
      </w:r>
    </w:p>
    <w:p>
      <w:pPr>
        <w:spacing w:after="160"/>
        <w:ind w:left="652"/>
      </w:pPr>
      <w:r>
        <w:rPr>
          <w:rFonts w:ascii="Calibri" w:hAnsi="Calibri"/>
          <w:i/>
          <w:color w:val="6C757D"/>
          <w:sz w:val="19"/>
        </w:rPr>
        <w:t>Cancellazione dei dati e smaltimento sono due obblighi distinti, con due prove distinte: l'attestato di cancellazione non sostituisce la documentazione di conferimento, e viceversa.</w:t>
      </w:r>
    </w:p>
    <w:p>
      <w:pPr>
        <w:spacing w:after="60"/>
        <w:ind w:left="227"/>
      </w:pPr>
      <w:r>
        <w:rPr>
          <w:rFonts w:ascii="Segoe UI Symbol" w:hAnsi="Segoe UI Symbol"/>
          <w:sz w:val="24"/>
        </w:rPr>
        <w:t xml:space="preserve">☐  </w:t>
      </w:r>
      <w:r>
        <w:rPr>
          <w:rFonts w:ascii="Calibri" w:hAnsi="Calibri"/>
          <w:sz w:val="21"/>
        </w:rPr>
        <w:t>Supporti guasti: distruzione fisica documentata.</w:t>
      </w:r>
    </w:p>
    <w:p>
      <w:pPr>
        <w:spacing w:after="160"/>
        <w:ind w:left="652"/>
      </w:pPr>
      <w:r>
        <w:rPr>
          <w:rFonts w:ascii="Calibri" w:hAnsi="Calibri"/>
          <w:i/>
          <w:color w:val="6C757D"/>
          <w:sz w:val="19"/>
        </w:rPr>
        <w:t>Se non risponde ai comandi non puoi né cancellarlo né verificarlo. Non va in permuta.</w:t>
      </w:r>
    </w:p>
    <w:p>
      <w:pPr>
        <w:pStyle w:val="Heading1"/>
        <w:spacing w:before="360" w:after="160"/>
      </w:pPr>
      <w:r>
        <w:rPr>
          <w:rFonts w:ascii="Calibri" w:hAnsi="Calibri"/>
          <w:b/>
          <w:color w:val="0177FF"/>
          <w:sz w:val="32"/>
        </w:rPr>
        <w:t>Fonti</w:t>
      </w:r>
    </w:p>
    <w:p>
      <w:pPr>
        <w:spacing w:after="120" w:line="360" w:lineRule="auto"/>
      </w:pPr>
      <w:r>
        <w:rPr>
          <w:rFonts w:ascii="Calibri" w:hAnsi="Calibri"/>
          <w:b w:val="0"/>
          <w:i w:val="0"/>
          <w:color w:val="6C757D"/>
          <w:sz w:val="20"/>
        </w:rPr>
        <w:t>Consultate il 18 agosto 2026.</w:t>
      </w:r>
    </w:p>
    <w:p>
      <w:pPr>
        <w:pStyle w:val="ListBullet"/>
      </w:pPr>
      <w:r>
        <w:rPr>
          <w:rFonts w:ascii="Calibri" w:hAnsi="Calibri"/>
          <w:sz w:val="22"/>
        </w:rPr>
        <w:t>NIST SP 800-88 Rev. 1, «Guidelines for Media Sanitization», dicembre 2014 — definizioni di Clear, Purge e Destroy; limiti della sovrascrittura sui supporti flash; smagnetizzazione; cancellazione crittografica</w:t>
      </w:r>
    </w:p>
    <w:p>
      <w:pPr>
        <w:pStyle w:val="ListBullet"/>
      </w:pPr>
      <w:r>
        <w:rPr>
          <w:rFonts w:ascii="Calibri" w:hAnsi="Calibri"/>
          <w:sz w:val="22"/>
        </w:rPr>
        <w:t>Microsoft Learn — «Device Action: Wipe» di Microsoft Intune: opzioni di cancellazione su Windows, avvertenza sul device non recuperabile, limite di 500 azioni al giorno, comportamenti specifici di Zebra, Samsung, macOS e ChromeOS, rimozione da Autopilot e dalla directory</w:t>
      </w:r>
    </w:p>
    <w:p>
      <w:pPr>
        <w:spacing w:after="120" w:line="360" w:lineRule="auto"/>
      </w:pPr>
      <w:r>
        <w:rPr>
          <w:rFonts w:ascii="Calibri" w:hAnsi="Calibri"/>
          <w:b w:val="0"/>
          <w:i w:val="0"/>
          <w:sz w:val="22"/>
        </w:rPr>
      </w:r>
    </w:p>
    <w:p>
      <w:pPr>
        <w:spacing w:after="120" w:line="360" w:lineRule="auto"/>
      </w:pPr>
      <w:r>
        <w:rPr>
          <w:rFonts w:ascii="Calibri" w:hAnsi="Calibri"/>
          <w:b/>
          <w:i w:val="0"/>
          <w:sz w:val="21"/>
        </w:rPr>
        <w:t>Se preferisci non gestire in casa cancellazione, attestazione e conferimento, ce ne occupiamo noi come parte del rinnovo del parco: synsphere.it/hardware/assistenza/assistenza-hardware-postazioni</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6C757D"/>
        <w:sz w:val="18"/>
      </w:rPr>
      <w:t>Checklist dismissione sicura dei dispositivi  •  SynSphere Italia — https://www.synsphere.it</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